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EF" w:rsidRPr="004D5C5E" w:rsidRDefault="000C22EF" w:rsidP="00183AC6">
      <w:pPr>
        <w:widowControl w:val="0"/>
        <w:autoSpaceDE w:val="0"/>
        <w:autoSpaceDN w:val="0"/>
        <w:adjustRightInd w:val="0"/>
        <w:rPr>
          <w:rFonts w:asciiTheme="minorHAnsi" w:hAnsiTheme="minorHAnsi" w:cs="Times"/>
          <w:color w:val="auto"/>
          <w:szCs w:val="24"/>
          <w:lang w:val="en-US"/>
        </w:rPr>
      </w:pPr>
      <w:r w:rsidRPr="004D5C5E">
        <w:rPr>
          <w:rFonts w:asciiTheme="minorHAnsi" w:hAnsiTheme="minorHAnsi" w:cs="Times"/>
          <w:noProof/>
          <w:color w:val="auto"/>
          <w:szCs w:val="24"/>
        </w:rPr>
        <w:drawing>
          <wp:anchor distT="0" distB="0" distL="114300" distR="114300" simplePos="0" relativeHeight="251658240" behindDoc="0" locked="0" layoutInCell="1" allowOverlap="1">
            <wp:simplePos x="0" y="0"/>
            <wp:positionH relativeFrom="column">
              <wp:posOffset>2019300</wp:posOffset>
            </wp:positionH>
            <wp:positionV relativeFrom="paragraph">
              <wp:posOffset>0</wp:posOffset>
            </wp:positionV>
            <wp:extent cx="1732280" cy="1945005"/>
            <wp:effectExtent l="0" t="0" r="127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04" r="1007" b="2424"/>
                    <a:stretch/>
                  </pic:blipFill>
                  <pic:spPr bwMode="auto">
                    <a:xfrm>
                      <a:off x="0" y="0"/>
                      <a:ext cx="1732280" cy="1945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22EF" w:rsidRPr="004D5C5E" w:rsidRDefault="000C22EF" w:rsidP="000C22EF">
      <w:pPr>
        <w:widowControl w:val="0"/>
        <w:autoSpaceDE w:val="0"/>
        <w:autoSpaceDN w:val="0"/>
        <w:adjustRightInd w:val="0"/>
        <w:jc w:val="center"/>
        <w:rPr>
          <w:rFonts w:asciiTheme="minorHAnsi" w:hAnsiTheme="minorHAnsi" w:cs="Times"/>
          <w:color w:val="auto"/>
          <w:szCs w:val="24"/>
          <w:lang w:val="en-US"/>
        </w:rPr>
      </w:pPr>
    </w:p>
    <w:p w:rsidR="000C22EF" w:rsidRPr="004D5C5E" w:rsidRDefault="000C22EF" w:rsidP="000C22EF">
      <w:pPr>
        <w:pStyle w:val="Title"/>
        <w:spacing w:after="0"/>
        <w:jc w:val="center"/>
        <w:rPr>
          <w:rFonts w:asciiTheme="minorHAnsi" w:hAnsiTheme="minorHAnsi"/>
          <w:color w:val="auto"/>
          <w:sz w:val="32"/>
        </w:rPr>
      </w:pPr>
      <w:r w:rsidRPr="004D5C5E">
        <w:rPr>
          <w:rFonts w:asciiTheme="minorHAnsi" w:hAnsiTheme="minorHAnsi"/>
          <w:color w:val="auto"/>
          <w:sz w:val="32"/>
        </w:rPr>
        <w:t>Department of Mechanical &amp; Aerospace Engineering</w:t>
      </w:r>
    </w:p>
    <w:p w:rsidR="000C22EF" w:rsidRPr="004D5C5E" w:rsidRDefault="000C22EF" w:rsidP="000C22EF">
      <w:pPr>
        <w:rPr>
          <w:rFonts w:asciiTheme="minorHAnsi" w:hAnsiTheme="minorHAnsi"/>
        </w:rPr>
      </w:pPr>
    </w:p>
    <w:p w:rsidR="000C22EF" w:rsidRPr="004D5C5E" w:rsidRDefault="000C22EF" w:rsidP="000C22EF">
      <w:pPr>
        <w:pStyle w:val="Title"/>
        <w:spacing w:after="0"/>
        <w:jc w:val="center"/>
        <w:rPr>
          <w:rFonts w:asciiTheme="minorHAnsi" w:hAnsiTheme="minorHAnsi"/>
          <w:color w:val="auto"/>
          <w:sz w:val="36"/>
          <w:szCs w:val="36"/>
        </w:rPr>
      </w:pPr>
      <w:r w:rsidRPr="004D5C5E">
        <w:rPr>
          <w:rFonts w:asciiTheme="minorHAnsi" w:hAnsiTheme="minorHAnsi"/>
          <w:color w:val="auto"/>
          <w:sz w:val="36"/>
          <w:szCs w:val="36"/>
        </w:rPr>
        <w:t>ME524 – Group Project Abroad</w:t>
      </w:r>
    </w:p>
    <w:p w:rsidR="000C22EF" w:rsidRPr="004D5C5E" w:rsidRDefault="000C22EF" w:rsidP="000C22EF">
      <w:pPr>
        <w:rPr>
          <w:rFonts w:asciiTheme="minorHAnsi" w:hAnsiTheme="minorHAnsi"/>
          <w:color w:val="auto"/>
        </w:rPr>
      </w:pPr>
    </w:p>
    <w:p w:rsidR="000C22EF" w:rsidRPr="004D5C5E" w:rsidRDefault="000C22EF" w:rsidP="000C22EF">
      <w:pPr>
        <w:pStyle w:val="Title"/>
        <w:jc w:val="center"/>
        <w:rPr>
          <w:rFonts w:asciiTheme="minorHAnsi" w:hAnsiTheme="minorHAnsi"/>
          <w:color w:val="auto"/>
          <w:sz w:val="44"/>
        </w:rPr>
      </w:pPr>
      <w:r w:rsidRPr="004D5C5E">
        <w:rPr>
          <w:rFonts w:asciiTheme="minorHAnsi" w:hAnsiTheme="minorHAnsi"/>
          <w:color w:val="auto"/>
          <w:sz w:val="44"/>
        </w:rPr>
        <w:t xml:space="preserve">DEVELOPMENT OF AN ELEVATOR PROTOTYPE </w:t>
      </w:r>
    </w:p>
    <w:p w:rsidR="000C22EF" w:rsidRPr="004D5C5E" w:rsidRDefault="000C22EF" w:rsidP="000C22EF">
      <w:pPr>
        <w:pStyle w:val="Title"/>
        <w:jc w:val="center"/>
        <w:rPr>
          <w:rFonts w:asciiTheme="minorHAnsi" w:hAnsiTheme="minorHAnsi"/>
          <w:color w:val="auto"/>
          <w:sz w:val="44"/>
        </w:rPr>
      </w:pPr>
      <w:r>
        <w:rPr>
          <w:rFonts w:asciiTheme="minorHAnsi" w:hAnsiTheme="minorHAnsi"/>
          <w:color w:val="auto"/>
          <w:sz w:val="44"/>
        </w:rPr>
        <w:t>WORLD ELEVATOR MARKET STUDY</w:t>
      </w:r>
    </w:p>
    <w:p w:rsidR="000C22EF" w:rsidRPr="004D5C5E" w:rsidRDefault="000C22EF" w:rsidP="000C22EF">
      <w:pPr>
        <w:rPr>
          <w:rFonts w:asciiTheme="minorHAnsi" w:hAnsiTheme="minorHAnsi"/>
        </w:rPr>
      </w:pPr>
    </w:p>
    <w:p w:rsidR="000C22EF" w:rsidRPr="004D5C5E" w:rsidRDefault="000C22EF" w:rsidP="000C22EF">
      <w:pPr>
        <w:rPr>
          <w:rFonts w:asciiTheme="minorHAnsi" w:hAnsiTheme="minorHAnsi"/>
        </w:rPr>
      </w:pPr>
    </w:p>
    <w:p w:rsidR="000C22EF" w:rsidRPr="004D5C5E" w:rsidRDefault="000C22EF" w:rsidP="000C22EF">
      <w:pPr>
        <w:jc w:val="center"/>
        <w:rPr>
          <w:rFonts w:asciiTheme="minorHAnsi" w:hAnsiTheme="minorHAnsi"/>
          <w:sz w:val="28"/>
          <w:szCs w:val="28"/>
        </w:rPr>
      </w:pPr>
      <w:r w:rsidRPr="004D5C5E">
        <w:rPr>
          <w:rFonts w:asciiTheme="minorHAnsi" w:hAnsiTheme="minorHAnsi"/>
          <w:sz w:val="28"/>
          <w:szCs w:val="28"/>
        </w:rPr>
        <w:t>Project Supervisor:</w:t>
      </w:r>
    </w:p>
    <w:p w:rsidR="000C22EF" w:rsidRPr="004D5C5E" w:rsidRDefault="000C22EF" w:rsidP="000C22EF">
      <w:pPr>
        <w:jc w:val="center"/>
        <w:rPr>
          <w:rFonts w:asciiTheme="minorHAnsi" w:hAnsiTheme="minorHAnsi"/>
          <w:sz w:val="28"/>
          <w:szCs w:val="28"/>
        </w:rPr>
      </w:pPr>
      <w:r w:rsidRPr="004D5C5E">
        <w:rPr>
          <w:rFonts w:asciiTheme="minorHAnsi" w:hAnsiTheme="minorHAnsi"/>
          <w:sz w:val="28"/>
          <w:szCs w:val="28"/>
        </w:rPr>
        <w:t>Jose Manual Sierra Velasco</w:t>
      </w:r>
    </w:p>
    <w:p w:rsidR="000C22EF" w:rsidRPr="004D5C5E" w:rsidRDefault="000C22EF" w:rsidP="000C22EF">
      <w:pPr>
        <w:jc w:val="center"/>
        <w:rPr>
          <w:rFonts w:asciiTheme="minorHAnsi" w:hAnsiTheme="minorHAnsi"/>
          <w:sz w:val="28"/>
          <w:szCs w:val="28"/>
          <w:u w:val="single"/>
        </w:rPr>
      </w:pPr>
      <w:r w:rsidRPr="000C22EF">
        <w:rPr>
          <w:rFonts w:asciiTheme="minorHAnsi" w:hAnsiTheme="minorHAnsi"/>
          <w:sz w:val="28"/>
          <w:szCs w:val="28"/>
        </w:rPr>
        <w:t xml:space="preserve">E: </w:t>
      </w:r>
      <w:r w:rsidRPr="004D5C5E">
        <w:rPr>
          <w:rFonts w:asciiTheme="minorHAnsi" w:hAnsiTheme="minorHAnsi"/>
          <w:sz w:val="28"/>
          <w:szCs w:val="28"/>
          <w:u w:val="single"/>
        </w:rPr>
        <w:t>jmsierra@uniovi.es</w:t>
      </w:r>
    </w:p>
    <w:p w:rsidR="000C22EF" w:rsidRPr="004D5C5E" w:rsidRDefault="000C22EF" w:rsidP="000C22EF">
      <w:pPr>
        <w:jc w:val="both"/>
        <w:rPr>
          <w:rFonts w:asciiTheme="minorHAnsi" w:hAnsiTheme="minorHAnsi"/>
        </w:rPr>
      </w:pPr>
    </w:p>
    <w:p w:rsidR="000C22EF" w:rsidRDefault="000C22EF" w:rsidP="000C22EF">
      <w:pPr>
        <w:jc w:val="both"/>
        <w:rPr>
          <w:rFonts w:asciiTheme="minorHAnsi" w:hAnsiTheme="minorHAnsi"/>
        </w:rPr>
      </w:pPr>
    </w:p>
    <w:p w:rsidR="000C22EF" w:rsidRDefault="000C22EF" w:rsidP="000C22EF">
      <w:pPr>
        <w:jc w:val="both"/>
        <w:rPr>
          <w:rFonts w:asciiTheme="minorHAnsi" w:hAnsiTheme="minorHAnsi"/>
        </w:rPr>
      </w:pPr>
    </w:p>
    <w:p w:rsidR="000C22EF" w:rsidRDefault="000C22EF" w:rsidP="000C22EF">
      <w:pPr>
        <w:jc w:val="both"/>
        <w:rPr>
          <w:rFonts w:asciiTheme="minorHAnsi" w:hAnsiTheme="minorHAnsi"/>
        </w:rPr>
      </w:pPr>
    </w:p>
    <w:p w:rsidR="000C22EF" w:rsidRDefault="000C22EF" w:rsidP="000C22EF">
      <w:pPr>
        <w:jc w:val="both"/>
        <w:rPr>
          <w:rFonts w:asciiTheme="minorHAnsi" w:hAnsiTheme="minorHAnsi"/>
        </w:rPr>
      </w:pPr>
    </w:p>
    <w:p w:rsidR="000C22EF" w:rsidRPr="004D5C5E" w:rsidRDefault="000C22EF" w:rsidP="000C22EF">
      <w:pPr>
        <w:jc w:val="both"/>
        <w:rPr>
          <w:rFonts w:asciiTheme="minorHAnsi" w:hAnsiTheme="minorHAnsi"/>
        </w:rPr>
      </w:pPr>
    </w:p>
    <w:p w:rsidR="000C22EF" w:rsidRPr="000C22EF" w:rsidRDefault="000C22EF" w:rsidP="000C22EF">
      <w:pPr>
        <w:jc w:val="center"/>
        <w:rPr>
          <w:rFonts w:asciiTheme="minorHAnsi" w:hAnsiTheme="minorHAnsi"/>
          <w:sz w:val="28"/>
          <w:szCs w:val="28"/>
        </w:rPr>
      </w:pPr>
      <w:r w:rsidRPr="000C22EF">
        <w:rPr>
          <w:rFonts w:asciiTheme="minorHAnsi" w:hAnsiTheme="minorHAnsi"/>
          <w:sz w:val="28"/>
          <w:szCs w:val="28"/>
        </w:rPr>
        <w:t>Daniel Simpson</w:t>
      </w:r>
    </w:p>
    <w:p w:rsidR="000C22EF" w:rsidRPr="000C22EF" w:rsidRDefault="000C22EF" w:rsidP="000C22EF">
      <w:pPr>
        <w:jc w:val="center"/>
        <w:rPr>
          <w:rFonts w:asciiTheme="minorHAnsi" w:hAnsiTheme="minorHAnsi"/>
          <w:sz w:val="28"/>
          <w:szCs w:val="28"/>
          <w:u w:val="single"/>
        </w:rPr>
      </w:pPr>
      <w:r w:rsidRPr="000C22EF">
        <w:rPr>
          <w:rFonts w:asciiTheme="minorHAnsi" w:hAnsiTheme="minorHAnsi"/>
          <w:sz w:val="28"/>
          <w:szCs w:val="28"/>
        </w:rPr>
        <w:t xml:space="preserve">E: </w:t>
      </w:r>
      <w:r w:rsidRPr="000C22EF">
        <w:rPr>
          <w:rFonts w:asciiTheme="minorHAnsi" w:hAnsiTheme="minorHAnsi"/>
          <w:sz w:val="28"/>
          <w:szCs w:val="28"/>
          <w:u w:val="single"/>
        </w:rPr>
        <w:t>Daniel.Simpson@strath.ac.uk</w:t>
      </w:r>
    </w:p>
    <w:p w:rsidR="000C22EF" w:rsidRPr="004D5C5E" w:rsidRDefault="000C22EF" w:rsidP="000C22EF">
      <w:pPr>
        <w:jc w:val="center"/>
        <w:rPr>
          <w:rFonts w:asciiTheme="minorHAnsi" w:hAnsiTheme="minorHAnsi"/>
        </w:rPr>
      </w:pPr>
    </w:p>
    <w:p w:rsidR="000C22EF" w:rsidRPr="004D5C5E" w:rsidRDefault="000C22EF" w:rsidP="000C22EF">
      <w:pPr>
        <w:jc w:val="center"/>
        <w:rPr>
          <w:rFonts w:asciiTheme="minorHAnsi" w:hAnsiTheme="minorHAnsi"/>
        </w:rPr>
      </w:pPr>
    </w:p>
    <w:p w:rsidR="000C22EF" w:rsidRPr="004D5C5E" w:rsidRDefault="000C22EF" w:rsidP="000C22EF">
      <w:pPr>
        <w:jc w:val="center"/>
        <w:rPr>
          <w:rFonts w:asciiTheme="minorHAnsi" w:hAnsiTheme="minorHAnsi"/>
        </w:rPr>
      </w:pPr>
    </w:p>
    <w:p w:rsidR="000C22EF" w:rsidRPr="004D5C5E" w:rsidRDefault="000C22EF" w:rsidP="000C22EF">
      <w:pPr>
        <w:jc w:val="center"/>
        <w:rPr>
          <w:rFonts w:asciiTheme="minorHAnsi" w:hAnsiTheme="minorHAnsi"/>
        </w:rPr>
      </w:pPr>
    </w:p>
    <w:p w:rsidR="000C22EF" w:rsidRDefault="000C22EF" w:rsidP="000C22EF">
      <w:pPr>
        <w:jc w:val="center"/>
        <w:rPr>
          <w:rFonts w:asciiTheme="minorHAnsi" w:hAnsiTheme="minorHAnsi"/>
        </w:rPr>
      </w:pPr>
    </w:p>
    <w:p w:rsidR="000C22EF" w:rsidRDefault="000C22EF" w:rsidP="000C22EF">
      <w:pPr>
        <w:jc w:val="center"/>
        <w:rPr>
          <w:rFonts w:asciiTheme="minorHAnsi" w:hAnsiTheme="minorHAnsi"/>
        </w:rPr>
      </w:pPr>
    </w:p>
    <w:p w:rsidR="000C22EF" w:rsidRDefault="000C22EF" w:rsidP="000C22EF">
      <w:pPr>
        <w:jc w:val="center"/>
        <w:rPr>
          <w:rFonts w:asciiTheme="minorHAnsi" w:hAnsiTheme="minorHAnsi"/>
        </w:rPr>
      </w:pPr>
    </w:p>
    <w:p w:rsidR="000C22EF" w:rsidRPr="004D5C5E" w:rsidRDefault="000C22EF" w:rsidP="000C22EF">
      <w:pPr>
        <w:jc w:val="center"/>
        <w:rPr>
          <w:rFonts w:asciiTheme="minorHAnsi" w:hAnsiTheme="minorHAnsi"/>
        </w:rPr>
      </w:pPr>
    </w:p>
    <w:p w:rsidR="000C22EF" w:rsidRPr="004D5C5E" w:rsidRDefault="000C22EF" w:rsidP="00183AC6">
      <w:pPr>
        <w:rPr>
          <w:rFonts w:asciiTheme="minorHAnsi" w:hAnsiTheme="minorHAnsi"/>
        </w:rPr>
      </w:pPr>
    </w:p>
    <w:p w:rsidR="000C22EF" w:rsidRPr="004D5C5E" w:rsidRDefault="000C22EF" w:rsidP="000C22EF">
      <w:pPr>
        <w:jc w:val="center"/>
        <w:rPr>
          <w:rFonts w:asciiTheme="minorHAnsi" w:hAnsiTheme="minorHAnsi"/>
        </w:rPr>
      </w:pPr>
      <w:r w:rsidRPr="004D5C5E">
        <w:rPr>
          <w:rFonts w:asciiTheme="minorHAnsi" w:hAnsiTheme="minorHAnsi"/>
        </w:rPr>
        <w:t>January 2015</w:t>
      </w:r>
    </w:p>
    <w:p w:rsidR="000C22EF" w:rsidRPr="000C22EF" w:rsidRDefault="000C22EF" w:rsidP="000C22EF">
      <w:pPr>
        <w:pStyle w:val="Heading1"/>
        <w:spacing w:line="360" w:lineRule="auto"/>
      </w:pPr>
      <w:r w:rsidRPr="000C22EF">
        <w:lastRenderedPageBreak/>
        <w:t>World Elevato</w:t>
      </w:r>
      <w:bookmarkStart w:id="0" w:name="_GoBack"/>
      <w:bookmarkEnd w:id="0"/>
      <w:r w:rsidRPr="000C22EF">
        <w:t>r Market Study</w:t>
      </w:r>
    </w:p>
    <w:p w:rsidR="000C22EF" w:rsidRPr="000C22EF" w:rsidRDefault="000C22EF" w:rsidP="000C22EF">
      <w:pPr>
        <w:spacing w:line="360" w:lineRule="auto"/>
        <w:rPr>
          <w:lang w:eastAsia="en-US"/>
        </w:rPr>
      </w:pPr>
    </w:p>
    <w:p w:rsidR="000C22EF" w:rsidRPr="003F4FAE" w:rsidRDefault="000C22EF" w:rsidP="000C22EF">
      <w:pPr>
        <w:spacing w:after="200" w:line="360" w:lineRule="auto"/>
        <w:rPr>
          <w:rFonts w:asciiTheme="minorHAnsi" w:eastAsiaTheme="minorEastAsia" w:hAnsiTheme="minorHAnsi" w:cs="Times New Roman"/>
          <w:b/>
          <w:color w:val="auto"/>
          <w:szCs w:val="24"/>
          <w:lang w:eastAsia="en-US"/>
        </w:rPr>
      </w:pPr>
      <w:r w:rsidRPr="004D5C5E">
        <w:rPr>
          <w:rFonts w:asciiTheme="minorHAnsi" w:eastAsiaTheme="minorEastAsia" w:hAnsiTheme="minorHAnsi" w:cs="Times New Roman"/>
          <w:color w:val="auto"/>
          <w:szCs w:val="24"/>
          <w:lang w:eastAsia="en-US"/>
        </w:rPr>
        <w:t xml:space="preserve">The world elevator market has experienced a significant rise in total market worth over the past twenty years due to the increasing demand for elevators globally. According to the </w:t>
      </w:r>
      <w:proofErr w:type="spellStart"/>
      <w:r w:rsidRPr="004D5C5E">
        <w:rPr>
          <w:rFonts w:asciiTheme="minorHAnsi" w:eastAsiaTheme="minorEastAsia" w:hAnsiTheme="minorHAnsi" w:cs="Times New Roman"/>
          <w:color w:val="auto"/>
          <w:szCs w:val="24"/>
          <w:lang w:eastAsia="en-US"/>
        </w:rPr>
        <w:t>Freedonia</w:t>
      </w:r>
      <w:proofErr w:type="spellEnd"/>
      <w:r w:rsidRPr="004D5C5E">
        <w:rPr>
          <w:rFonts w:asciiTheme="minorHAnsi" w:eastAsiaTheme="minorEastAsia" w:hAnsiTheme="minorHAnsi" w:cs="Times New Roman"/>
          <w:color w:val="auto"/>
          <w:szCs w:val="24"/>
          <w:lang w:eastAsia="en-US"/>
        </w:rPr>
        <w:t xml:space="preserve"> Group’s</w:t>
      </w:r>
      <w:r>
        <w:rPr>
          <w:rFonts w:asciiTheme="minorHAnsi" w:eastAsiaTheme="minorEastAsia" w:hAnsiTheme="minorHAnsi" w:cs="Times New Roman"/>
          <w:color w:val="auto"/>
          <w:szCs w:val="24"/>
          <w:lang w:eastAsia="en-US"/>
        </w:rPr>
        <w:t>, an independent global market research company,</w:t>
      </w:r>
      <w:r w:rsidRPr="004D5C5E">
        <w:rPr>
          <w:rFonts w:asciiTheme="minorHAnsi" w:eastAsiaTheme="minorEastAsia" w:hAnsiTheme="minorHAnsi" w:cs="Times New Roman"/>
          <w:color w:val="auto"/>
          <w:szCs w:val="24"/>
          <w:lang w:eastAsia="en-US"/>
        </w:rPr>
        <w:t xml:space="preserve"> industry study titled ‘World Elevators. December 2013’ </w:t>
      </w:r>
      <w:r w:rsidRPr="000C22EF">
        <w:rPr>
          <w:rFonts w:asciiTheme="minorHAnsi" w:eastAsiaTheme="minorEastAsia" w:hAnsiTheme="minorHAnsi" w:cs="Times New Roman"/>
          <w:color w:val="auto"/>
          <w:szCs w:val="24"/>
          <w:lang w:eastAsia="en-US"/>
        </w:rPr>
        <w:t xml:space="preserve">[1] </w:t>
      </w:r>
      <w:r w:rsidRPr="004D5C5E">
        <w:rPr>
          <w:rFonts w:asciiTheme="minorHAnsi" w:eastAsiaTheme="minorEastAsia" w:hAnsiTheme="minorHAnsi" w:cs="Times New Roman"/>
          <w:color w:val="auto"/>
          <w:szCs w:val="24"/>
          <w:lang w:eastAsia="en-US"/>
        </w:rPr>
        <w:t>the total elevator market worth has incr</w:t>
      </w:r>
      <w:r>
        <w:rPr>
          <w:rFonts w:asciiTheme="minorHAnsi" w:eastAsiaTheme="minorEastAsia" w:hAnsiTheme="minorHAnsi" w:cs="Times New Roman"/>
          <w:color w:val="auto"/>
          <w:szCs w:val="24"/>
          <w:lang w:eastAsia="en-US"/>
        </w:rPr>
        <w:t>eased from $24.9bil to $66.2bil in the twenty years leading up to 2014. This demand has been due to an increase in global urban population, notably from 2.5 billion in 1994 to 3.8 billion in 2014. In this timeframe, countries such as China and India, and countries within the Middle-East have seen rapid economic and social development within urban areas resulting in the emergence of a vast and lucrative market for elevator manuf</w:t>
      </w:r>
      <w:r>
        <w:rPr>
          <w:rFonts w:asciiTheme="minorHAnsi" w:eastAsiaTheme="minorEastAsia" w:hAnsiTheme="minorHAnsi" w:cs="Times New Roman"/>
          <w:color w:val="auto"/>
          <w:szCs w:val="24"/>
          <w:lang w:eastAsia="en-US"/>
        </w:rPr>
        <w:t>acturers and service providers [2].</w:t>
      </w:r>
    </w:p>
    <w:p w:rsidR="000C22EF" w:rsidRPr="004D5C5E" w:rsidRDefault="000C22EF" w:rsidP="000C22EF">
      <w:pPr>
        <w:spacing w:line="360" w:lineRule="auto"/>
        <w:jc w:val="both"/>
        <w:rPr>
          <w:rFonts w:asciiTheme="minorHAnsi" w:eastAsiaTheme="minorEastAsia" w:hAnsiTheme="minorHAnsi" w:cs="Times New Roman"/>
          <w:color w:val="auto"/>
          <w:szCs w:val="24"/>
          <w:lang w:eastAsia="en-US"/>
        </w:rPr>
      </w:pPr>
    </w:p>
    <w:p w:rsidR="000C22EF" w:rsidRPr="004D5C5E" w:rsidRDefault="000C22EF" w:rsidP="000C22EF">
      <w:pPr>
        <w:spacing w:line="360" w:lineRule="auto"/>
        <w:jc w:val="both"/>
        <w:rPr>
          <w:rFonts w:asciiTheme="minorHAnsi" w:eastAsiaTheme="minorEastAsia" w:hAnsiTheme="minorHAnsi" w:cs="Times New Roman"/>
          <w:color w:val="auto"/>
          <w:szCs w:val="24"/>
          <w:lang w:eastAsia="en-US"/>
        </w:rPr>
      </w:pPr>
      <w:r w:rsidRPr="004D5C5E">
        <w:rPr>
          <w:rFonts w:asciiTheme="minorHAnsi" w:eastAsiaTheme="minorEastAsia" w:hAnsiTheme="minorHAnsi" w:cs="Times New Roman"/>
          <w:color w:val="auto"/>
          <w:szCs w:val="24"/>
          <w:lang w:eastAsia="en-US"/>
        </w:rPr>
        <w:t xml:space="preserve">Typically, the world elevator market is split into two categories: the Equipment market and the Services market, each with subsequent sub categories. The following flow hierarchy chart shows how </w:t>
      </w:r>
      <w:r>
        <w:rPr>
          <w:rFonts w:asciiTheme="minorHAnsi" w:eastAsiaTheme="minorEastAsia" w:hAnsiTheme="minorHAnsi" w:cs="Times New Roman"/>
          <w:color w:val="auto"/>
          <w:szCs w:val="24"/>
          <w:lang w:eastAsia="en-US"/>
        </w:rPr>
        <w:t>the market is made up [Figure 1]</w:t>
      </w:r>
      <w:r w:rsidRPr="004D5C5E">
        <w:rPr>
          <w:rFonts w:asciiTheme="minorHAnsi" w:eastAsiaTheme="minorEastAsia" w:hAnsiTheme="minorHAnsi" w:cs="Times New Roman"/>
          <w:color w:val="auto"/>
          <w:szCs w:val="24"/>
          <w:lang w:eastAsia="en-US"/>
        </w:rPr>
        <w:t xml:space="preserve">: </w:t>
      </w:r>
    </w:p>
    <w:p w:rsidR="000C22EF" w:rsidRPr="004D5C5E" w:rsidRDefault="000C22EF" w:rsidP="000C22EF">
      <w:pPr>
        <w:keepNext/>
        <w:spacing w:line="360" w:lineRule="auto"/>
        <w:jc w:val="both"/>
        <w:rPr>
          <w:rFonts w:asciiTheme="minorHAnsi" w:eastAsiaTheme="minorEastAsia" w:hAnsiTheme="minorHAnsi" w:cs="Times New Roman"/>
          <w:color w:val="auto"/>
          <w:szCs w:val="24"/>
          <w:lang w:eastAsia="en-US"/>
        </w:rPr>
      </w:pPr>
      <w:r w:rsidRPr="004D5C5E">
        <w:rPr>
          <w:rFonts w:asciiTheme="minorHAnsi" w:eastAsiaTheme="minorEastAsia" w:hAnsiTheme="minorHAnsi" w:cs="Times New Roman"/>
          <w:noProof/>
          <w:color w:val="auto"/>
          <w:szCs w:val="24"/>
        </w:rPr>
        <w:drawing>
          <wp:inline distT="0" distB="0" distL="0" distR="0" wp14:anchorId="3C727001" wp14:editId="0D3FA5CA">
            <wp:extent cx="5270500" cy="3074670"/>
            <wp:effectExtent l="57150" t="0" r="101600" b="495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C22EF" w:rsidRPr="004D5C5E" w:rsidRDefault="000C22EF" w:rsidP="000C22EF">
      <w:pPr>
        <w:spacing w:after="200" w:line="360" w:lineRule="auto"/>
        <w:jc w:val="both"/>
        <w:rPr>
          <w:rFonts w:asciiTheme="minorHAnsi" w:eastAsiaTheme="minorEastAsia" w:hAnsiTheme="minorHAnsi" w:cs="Times New Roman"/>
          <w:b/>
          <w:bCs/>
          <w:color w:val="4F81BD" w:themeColor="accent1"/>
          <w:sz w:val="18"/>
          <w:szCs w:val="18"/>
          <w:lang w:eastAsia="en-US"/>
        </w:rPr>
      </w:pPr>
      <w:r w:rsidRPr="004D5C5E">
        <w:rPr>
          <w:rFonts w:asciiTheme="minorHAnsi" w:eastAsiaTheme="minorEastAsia" w:hAnsiTheme="minorHAnsi" w:cs="Times New Roman"/>
          <w:b/>
          <w:bCs/>
          <w:color w:val="4F81BD" w:themeColor="accent1"/>
          <w:sz w:val="18"/>
          <w:szCs w:val="18"/>
          <w:lang w:eastAsia="en-US"/>
        </w:rPr>
        <w:t xml:space="preserve">Figure </w:t>
      </w:r>
      <w:r w:rsidRPr="004D5C5E">
        <w:rPr>
          <w:rFonts w:asciiTheme="minorHAnsi" w:eastAsiaTheme="minorEastAsia" w:hAnsiTheme="minorHAnsi" w:cs="Times New Roman"/>
          <w:b/>
          <w:bCs/>
          <w:color w:val="4F81BD" w:themeColor="accent1"/>
          <w:sz w:val="18"/>
          <w:szCs w:val="18"/>
          <w:lang w:eastAsia="en-US"/>
        </w:rPr>
        <w:fldChar w:fldCharType="begin"/>
      </w:r>
      <w:r w:rsidRPr="004D5C5E">
        <w:rPr>
          <w:rFonts w:asciiTheme="minorHAnsi" w:eastAsiaTheme="minorEastAsia" w:hAnsiTheme="minorHAnsi" w:cs="Times New Roman"/>
          <w:b/>
          <w:bCs/>
          <w:color w:val="4F81BD" w:themeColor="accent1"/>
          <w:sz w:val="18"/>
          <w:szCs w:val="18"/>
          <w:lang w:eastAsia="en-US"/>
        </w:rPr>
        <w:instrText xml:space="preserve"> SEQ Figure \* ARABIC </w:instrText>
      </w:r>
      <w:r w:rsidRPr="004D5C5E">
        <w:rPr>
          <w:rFonts w:asciiTheme="minorHAnsi" w:eastAsiaTheme="minorEastAsia" w:hAnsiTheme="minorHAnsi" w:cs="Times New Roman"/>
          <w:b/>
          <w:bCs/>
          <w:color w:val="4F81BD" w:themeColor="accent1"/>
          <w:sz w:val="18"/>
          <w:szCs w:val="18"/>
          <w:lang w:eastAsia="en-US"/>
        </w:rPr>
        <w:fldChar w:fldCharType="separate"/>
      </w:r>
      <w:r>
        <w:rPr>
          <w:rFonts w:asciiTheme="minorHAnsi" w:eastAsiaTheme="minorEastAsia" w:hAnsiTheme="minorHAnsi" w:cs="Times New Roman"/>
          <w:b/>
          <w:bCs/>
          <w:noProof/>
          <w:color w:val="4F81BD" w:themeColor="accent1"/>
          <w:sz w:val="18"/>
          <w:szCs w:val="18"/>
          <w:lang w:eastAsia="en-US"/>
        </w:rPr>
        <w:t>1</w:t>
      </w:r>
      <w:r w:rsidRPr="004D5C5E">
        <w:rPr>
          <w:rFonts w:asciiTheme="minorHAnsi" w:eastAsiaTheme="minorEastAsia" w:hAnsiTheme="minorHAnsi" w:cs="Times New Roman"/>
          <w:b/>
          <w:bCs/>
          <w:color w:val="4F81BD" w:themeColor="accent1"/>
          <w:sz w:val="18"/>
          <w:szCs w:val="18"/>
          <w:lang w:eastAsia="en-US"/>
        </w:rPr>
        <w:fldChar w:fldCharType="end"/>
      </w:r>
      <w:r w:rsidRPr="004D5C5E">
        <w:rPr>
          <w:rFonts w:asciiTheme="minorHAnsi" w:eastAsiaTheme="minorEastAsia" w:hAnsiTheme="minorHAnsi" w:cs="Times New Roman"/>
          <w:b/>
          <w:bCs/>
          <w:color w:val="4F81BD" w:themeColor="accent1"/>
          <w:sz w:val="18"/>
          <w:szCs w:val="18"/>
          <w:lang w:eastAsia="en-US"/>
        </w:rPr>
        <w:t>- Elevator Market Hierarchy</w:t>
      </w:r>
    </w:p>
    <w:p w:rsidR="000C22EF" w:rsidRPr="004D5C5E" w:rsidRDefault="000C22EF" w:rsidP="000C22EF">
      <w:pPr>
        <w:spacing w:line="360" w:lineRule="auto"/>
        <w:jc w:val="both"/>
        <w:rPr>
          <w:rFonts w:asciiTheme="minorHAnsi" w:eastAsiaTheme="minorEastAsia" w:hAnsiTheme="minorHAnsi" w:cs="Times New Roman"/>
          <w:color w:val="auto"/>
          <w:szCs w:val="24"/>
          <w:lang w:eastAsia="en-US"/>
        </w:rPr>
      </w:pPr>
      <w:r w:rsidRPr="004D5C5E">
        <w:rPr>
          <w:rFonts w:asciiTheme="minorHAnsi" w:eastAsiaTheme="minorEastAsia" w:hAnsiTheme="minorHAnsi" w:cs="Times New Roman"/>
          <w:color w:val="auto"/>
          <w:szCs w:val="24"/>
          <w:lang w:eastAsia="en-US"/>
        </w:rPr>
        <w:lastRenderedPageBreak/>
        <w:t xml:space="preserve">During the </w:t>
      </w:r>
      <w:r>
        <w:rPr>
          <w:rFonts w:asciiTheme="minorHAnsi" w:eastAsiaTheme="minorEastAsia" w:hAnsiTheme="minorHAnsi" w:cs="Times New Roman"/>
          <w:color w:val="auto"/>
          <w:szCs w:val="24"/>
          <w:lang w:eastAsia="en-US"/>
        </w:rPr>
        <w:t>last</w:t>
      </w:r>
      <w:r w:rsidRPr="004D5C5E">
        <w:rPr>
          <w:rFonts w:asciiTheme="minorHAnsi" w:eastAsiaTheme="minorEastAsia" w:hAnsiTheme="minorHAnsi" w:cs="Times New Roman"/>
          <w:color w:val="auto"/>
          <w:szCs w:val="24"/>
          <w:lang w:eastAsia="en-US"/>
        </w:rPr>
        <w:t xml:space="preserve"> twenty years both the Equipment and Services sectors of the market have seen an increase in revenue. Figure 2 is a graph detailing the market growth for both sector and the overall market growth over the timeframe in consideration: </w:t>
      </w:r>
    </w:p>
    <w:p w:rsidR="000C22EF" w:rsidRPr="004D5C5E" w:rsidRDefault="000C22EF" w:rsidP="000C22EF">
      <w:pPr>
        <w:keepNext/>
        <w:spacing w:line="360" w:lineRule="auto"/>
        <w:jc w:val="both"/>
        <w:rPr>
          <w:rFonts w:asciiTheme="minorHAnsi" w:eastAsiaTheme="minorEastAsia" w:hAnsiTheme="minorHAnsi" w:cstheme="minorBidi"/>
          <w:color w:val="auto"/>
          <w:szCs w:val="24"/>
          <w:lang w:eastAsia="en-US"/>
        </w:rPr>
      </w:pPr>
      <w:r>
        <w:rPr>
          <w:noProof/>
        </w:rPr>
        <w:drawing>
          <wp:inline distT="0" distB="0" distL="0" distR="0" wp14:anchorId="5DC7FE8A" wp14:editId="5C7CCAE6">
            <wp:extent cx="4572000" cy="27432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22EF" w:rsidRPr="004D5C5E" w:rsidRDefault="000C22EF" w:rsidP="000C22EF">
      <w:pPr>
        <w:spacing w:after="200" w:line="360" w:lineRule="auto"/>
        <w:jc w:val="both"/>
        <w:rPr>
          <w:rFonts w:asciiTheme="minorHAnsi" w:eastAsiaTheme="minorEastAsia" w:hAnsiTheme="minorHAnsi" w:cs="Times New Roman"/>
          <w:b/>
          <w:bCs/>
          <w:color w:val="4F81BD" w:themeColor="accent1"/>
          <w:sz w:val="18"/>
          <w:szCs w:val="18"/>
          <w:lang w:eastAsia="en-US"/>
        </w:rPr>
      </w:pPr>
      <w:r w:rsidRPr="004D5C5E">
        <w:rPr>
          <w:rFonts w:asciiTheme="minorHAnsi" w:eastAsiaTheme="minorEastAsia" w:hAnsiTheme="minorHAnsi" w:cstheme="minorBidi"/>
          <w:b/>
          <w:bCs/>
          <w:color w:val="4F81BD" w:themeColor="accent1"/>
          <w:sz w:val="18"/>
          <w:szCs w:val="18"/>
          <w:lang w:eastAsia="en-US"/>
        </w:rPr>
        <w:t xml:space="preserve">Figure </w:t>
      </w:r>
      <w:r w:rsidRPr="004D5C5E">
        <w:rPr>
          <w:rFonts w:asciiTheme="minorHAnsi" w:eastAsiaTheme="minorEastAsia" w:hAnsiTheme="minorHAnsi" w:cstheme="minorBidi"/>
          <w:b/>
          <w:bCs/>
          <w:color w:val="4F81BD" w:themeColor="accent1"/>
          <w:sz w:val="18"/>
          <w:szCs w:val="18"/>
          <w:lang w:eastAsia="en-US"/>
        </w:rPr>
        <w:fldChar w:fldCharType="begin"/>
      </w:r>
      <w:r w:rsidRPr="004D5C5E">
        <w:rPr>
          <w:rFonts w:asciiTheme="minorHAnsi" w:eastAsiaTheme="minorEastAsia" w:hAnsiTheme="minorHAnsi" w:cstheme="minorBidi"/>
          <w:b/>
          <w:bCs/>
          <w:color w:val="4F81BD" w:themeColor="accent1"/>
          <w:sz w:val="18"/>
          <w:szCs w:val="18"/>
          <w:lang w:eastAsia="en-US"/>
        </w:rPr>
        <w:instrText xml:space="preserve"> SEQ Figure \* ARABIC </w:instrText>
      </w:r>
      <w:r w:rsidRPr="004D5C5E">
        <w:rPr>
          <w:rFonts w:asciiTheme="minorHAnsi" w:eastAsiaTheme="minorEastAsia" w:hAnsiTheme="minorHAnsi" w:cstheme="minorBidi"/>
          <w:b/>
          <w:bCs/>
          <w:color w:val="4F81BD" w:themeColor="accent1"/>
          <w:sz w:val="18"/>
          <w:szCs w:val="18"/>
          <w:lang w:eastAsia="en-US"/>
        </w:rPr>
        <w:fldChar w:fldCharType="separate"/>
      </w:r>
      <w:r>
        <w:rPr>
          <w:rFonts w:asciiTheme="minorHAnsi" w:eastAsiaTheme="minorEastAsia" w:hAnsiTheme="minorHAnsi" w:cstheme="minorBidi"/>
          <w:b/>
          <w:bCs/>
          <w:noProof/>
          <w:color w:val="4F81BD" w:themeColor="accent1"/>
          <w:sz w:val="18"/>
          <w:szCs w:val="18"/>
          <w:lang w:eastAsia="en-US"/>
        </w:rPr>
        <w:t>2</w:t>
      </w:r>
      <w:r w:rsidRPr="004D5C5E">
        <w:rPr>
          <w:rFonts w:asciiTheme="minorHAnsi" w:eastAsiaTheme="minorEastAsia" w:hAnsiTheme="minorHAnsi" w:cstheme="minorBidi"/>
          <w:b/>
          <w:bCs/>
          <w:noProof/>
          <w:color w:val="4F81BD" w:themeColor="accent1"/>
          <w:sz w:val="18"/>
          <w:szCs w:val="18"/>
          <w:lang w:eastAsia="en-US"/>
        </w:rPr>
        <w:fldChar w:fldCharType="end"/>
      </w:r>
      <w:r w:rsidRPr="004D5C5E">
        <w:rPr>
          <w:rFonts w:asciiTheme="minorHAnsi" w:eastAsiaTheme="minorEastAsia" w:hAnsiTheme="minorHAnsi" w:cstheme="minorBidi"/>
          <w:b/>
          <w:bCs/>
          <w:color w:val="4F81BD" w:themeColor="accent1"/>
          <w:sz w:val="18"/>
          <w:szCs w:val="18"/>
          <w:lang w:eastAsia="en-US"/>
        </w:rPr>
        <w:t>- World Elevator Market Growth</w:t>
      </w:r>
    </w:p>
    <w:p w:rsidR="000C22EF" w:rsidRDefault="000C22EF" w:rsidP="000C22EF">
      <w:pPr>
        <w:spacing w:line="360" w:lineRule="auto"/>
        <w:jc w:val="both"/>
        <w:rPr>
          <w:rFonts w:asciiTheme="minorHAnsi" w:eastAsiaTheme="minorEastAsia" w:hAnsiTheme="minorHAnsi" w:cs="Times New Roman"/>
          <w:color w:val="auto"/>
          <w:szCs w:val="24"/>
          <w:lang w:eastAsia="en-US"/>
        </w:rPr>
      </w:pPr>
      <w:r w:rsidRPr="004D5C5E">
        <w:rPr>
          <w:rFonts w:asciiTheme="minorHAnsi" w:eastAsiaTheme="minorEastAsia" w:hAnsiTheme="minorHAnsi" w:cs="Times New Roman"/>
          <w:color w:val="auto"/>
          <w:szCs w:val="24"/>
          <w:lang w:eastAsia="en-US"/>
        </w:rPr>
        <w:t xml:space="preserve">We can clearly see that the Services sector of the market has </w:t>
      </w:r>
      <w:r>
        <w:rPr>
          <w:rFonts w:asciiTheme="minorHAnsi" w:eastAsiaTheme="minorEastAsia" w:hAnsiTheme="minorHAnsi" w:cs="Times New Roman"/>
          <w:color w:val="auto"/>
          <w:szCs w:val="24"/>
          <w:lang w:eastAsia="en-US"/>
        </w:rPr>
        <w:t xml:space="preserve">consistently </w:t>
      </w:r>
      <w:r w:rsidRPr="004D5C5E">
        <w:rPr>
          <w:rFonts w:asciiTheme="minorHAnsi" w:eastAsiaTheme="minorEastAsia" w:hAnsiTheme="minorHAnsi" w:cs="Times New Roman"/>
          <w:color w:val="auto"/>
          <w:szCs w:val="24"/>
          <w:lang w:eastAsia="en-US"/>
        </w:rPr>
        <w:t>generated more revenue than the Equipment market over the last twenty years, and as of 2014 the individual value lies at $36.8bil and $29.5bil respectively.</w:t>
      </w:r>
      <w:r>
        <w:rPr>
          <w:rFonts w:asciiTheme="minorHAnsi" w:eastAsiaTheme="minorEastAsia" w:hAnsiTheme="minorHAnsi" w:cs="Times New Roman"/>
          <w:color w:val="auto"/>
          <w:szCs w:val="24"/>
          <w:lang w:eastAsia="en-US"/>
        </w:rPr>
        <w:t xml:space="preserve"> Lawmakers and global standards committees, in particular for the European sector the European Committee for Standardisation, have progressively become more stringent on elevator safety and regulation allowing both markets to flourish. One instance of increased elevator rules, and thus a surge in the market, can be seen within legislation in the United Kingdom within the addition of section M in 2004 to the Disabled Discriminations Act 1995 </w:t>
      </w:r>
      <w:r w:rsidRPr="000C22EF">
        <w:rPr>
          <w:rFonts w:asciiTheme="minorHAnsi" w:eastAsiaTheme="minorEastAsia" w:hAnsiTheme="minorHAnsi" w:cs="Times New Roman"/>
          <w:color w:val="auto"/>
          <w:szCs w:val="24"/>
          <w:lang w:eastAsia="en-US"/>
        </w:rPr>
        <w:t>[3]</w:t>
      </w:r>
      <w:r>
        <w:rPr>
          <w:rFonts w:asciiTheme="minorHAnsi" w:eastAsiaTheme="minorEastAsia" w:hAnsiTheme="minorHAnsi" w:cs="Times New Roman"/>
          <w:color w:val="auto"/>
          <w:szCs w:val="24"/>
          <w:lang w:eastAsia="en-US"/>
        </w:rPr>
        <w:t xml:space="preserve">. </w:t>
      </w:r>
      <w:r>
        <w:rPr>
          <w:rFonts w:asciiTheme="minorHAnsi" w:eastAsiaTheme="minorEastAsia" w:hAnsiTheme="minorHAnsi" w:cs="Times New Roman"/>
          <w:color w:val="auto"/>
          <w:szCs w:val="24"/>
          <w:lang w:eastAsia="en-US"/>
        </w:rPr>
        <w:t xml:space="preserve">This addition to the legislation provides further guidelines for the accessibility of disabled people within new and existing buildings in the UK, in particular section 3.1 titled “Provision of Lifting Devices”.  The requirement therefore to satisfy this piece of legislation has resulted in an increase in the overall market: a trend that has been seen not just in the United Kingdom but also globally, as lawmakers become increasingly more stringent on accessibility laws. </w:t>
      </w:r>
    </w:p>
    <w:p w:rsidR="000C22EF" w:rsidRDefault="000C22EF" w:rsidP="000C22EF">
      <w:pPr>
        <w:spacing w:line="360" w:lineRule="auto"/>
        <w:jc w:val="both"/>
        <w:rPr>
          <w:rFonts w:asciiTheme="minorHAnsi" w:eastAsiaTheme="minorEastAsia" w:hAnsiTheme="minorHAnsi" w:cs="Times New Roman"/>
          <w:color w:val="auto"/>
          <w:szCs w:val="24"/>
          <w:lang w:eastAsia="en-US"/>
        </w:rPr>
      </w:pPr>
    </w:p>
    <w:p w:rsidR="000C22EF" w:rsidRDefault="000C22EF" w:rsidP="000C22EF">
      <w:pPr>
        <w:spacing w:line="360" w:lineRule="auto"/>
        <w:jc w:val="both"/>
        <w:rPr>
          <w:rFonts w:asciiTheme="minorHAnsi" w:eastAsiaTheme="minorEastAsia" w:hAnsiTheme="minorHAnsi" w:cs="Times New Roman"/>
          <w:color w:val="auto"/>
          <w:szCs w:val="24"/>
          <w:lang w:eastAsia="en-US"/>
        </w:rPr>
      </w:pPr>
      <w:r>
        <w:rPr>
          <w:rFonts w:asciiTheme="minorHAnsi" w:eastAsiaTheme="minorEastAsia" w:hAnsiTheme="minorHAnsi" w:cs="Times New Roman"/>
          <w:color w:val="auto"/>
          <w:szCs w:val="24"/>
          <w:lang w:eastAsia="en-US"/>
        </w:rPr>
        <w:t xml:space="preserve">This act has since been replaced by the 2010 Equality Act; an act that has been created with the addition other anti-discriminatory acts providing clear guidelines on key issued, least of </w:t>
      </w:r>
      <w:r>
        <w:rPr>
          <w:rFonts w:asciiTheme="minorHAnsi" w:eastAsiaTheme="minorEastAsia" w:hAnsiTheme="minorHAnsi" w:cs="Times New Roman"/>
          <w:color w:val="auto"/>
          <w:szCs w:val="24"/>
          <w:lang w:eastAsia="en-US"/>
        </w:rPr>
        <w:lastRenderedPageBreak/>
        <w:t xml:space="preserve">all accessibility in buildings; with clear emphasis on the need for elevators and escalators in buildings that without would otherwise be inaccessible to a disabled person. </w:t>
      </w:r>
    </w:p>
    <w:p w:rsidR="000C22EF" w:rsidRDefault="000C22EF" w:rsidP="000C22EF">
      <w:pPr>
        <w:spacing w:line="360" w:lineRule="auto"/>
        <w:jc w:val="both"/>
        <w:rPr>
          <w:rFonts w:asciiTheme="minorHAnsi" w:eastAsiaTheme="minorEastAsia" w:hAnsiTheme="minorHAnsi" w:cs="Times New Roman"/>
          <w:color w:val="auto"/>
          <w:szCs w:val="24"/>
          <w:lang w:eastAsia="en-US"/>
        </w:rPr>
      </w:pPr>
    </w:p>
    <w:p w:rsidR="000C22EF" w:rsidRPr="004D5C5E" w:rsidRDefault="000C22EF" w:rsidP="000C22EF">
      <w:pPr>
        <w:spacing w:line="360" w:lineRule="auto"/>
        <w:jc w:val="both"/>
        <w:rPr>
          <w:rFonts w:asciiTheme="minorHAnsi" w:eastAsiaTheme="minorEastAsia" w:hAnsiTheme="minorHAnsi" w:cs="Times New Roman"/>
          <w:color w:val="auto"/>
          <w:szCs w:val="24"/>
          <w:lang w:eastAsia="en-US"/>
        </w:rPr>
      </w:pPr>
      <w:r>
        <w:rPr>
          <w:rFonts w:asciiTheme="minorHAnsi" w:eastAsiaTheme="minorEastAsia" w:hAnsiTheme="minorHAnsi" w:cs="Times New Roman"/>
          <w:color w:val="auto"/>
          <w:szCs w:val="24"/>
          <w:lang w:eastAsia="en-US"/>
        </w:rPr>
        <w:t>T</w:t>
      </w:r>
      <w:r w:rsidRPr="004D5C5E">
        <w:rPr>
          <w:rFonts w:asciiTheme="minorHAnsi" w:eastAsiaTheme="minorEastAsia" w:hAnsiTheme="minorHAnsi" w:cs="Times New Roman"/>
          <w:color w:val="auto"/>
          <w:szCs w:val="24"/>
          <w:lang w:eastAsia="en-US"/>
        </w:rPr>
        <w:t xml:space="preserve">he respective market share of </w:t>
      </w:r>
      <w:r>
        <w:rPr>
          <w:rFonts w:asciiTheme="minorHAnsi" w:eastAsiaTheme="minorEastAsia" w:hAnsiTheme="minorHAnsi" w:cs="Times New Roman"/>
          <w:color w:val="auto"/>
          <w:szCs w:val="24"/>
          <w:lang w:eastAsia="en-US"/>
        </w:rPr>
        <w:t>each sector</w:t>
      </w:r>
      <w:r w:rsidRPr="004D5C5E">
        <w:rPr>
          <w:rFonts w:asciiTheme="minorHAnsi" w:eastAsiaTheme="minorEastAsia" w:hAnsiTheme="minorHAnsi" w:cs="Times New Roman"/>
          <w:color w:val="auto"/>
          <w:szCs w:val="24"/>
          <w:lang w:eastAsia="en-US"/>
        </w:rPr>
        <w:t xml:space="preserve"> has</w:t>
      </w:r>
      <w:r>
        <w:rPr>
          <w:rFonts w:asciiTheme="minorHAnsi" w:eastAsiaTheme="minorEastAsia" w:hAnsiTheme="minorHAnsi" w:cs="Times New Roman"/>
          <w:color w:val="auto"/>
          <w:szCs w:val="24"/>
          <w:lang w:eastAsia="en-US"/>
        </w:rPr>
        <w:t xml:space="preserve"> been consistently dominated by the Services </w:t>
      </w:r>
      <w:r>
        <w:rPr>
          <w:rFonts w:asciiTheme="minorHAnsi" w:eastAsiaTheme="minorEastAsia" w:hAnsiTheme="minorHAnsi" w:cs="Times New Roman"/>
          <w:color w:val="auto"/>
          <w:szCs w:val="24"/>
          <w:lang w:eastAsia="en-US"/>
        </w:rPr>
        <w:t>sector;</w:t>
      </w:r>
      <w:r>
        <w:rPr>
          <w:rFonts w:asciiTheme="minorHAnsi" w:eastAsiaTheme="minorEastAsia" w:hAnsiTheme="minorHAnsi" w:cs="Times New Roman"/>
          <w:color w:val="auto"/>
          <w:szCs w:val="24"/>
          <w:lang w:eastAsia="en-US"/>
        </w:rPr>
        <w:t xml:space="preserve"> however recent figures suggest that the Equipment share is increasing, with the Services share decreasin</w:t>
      </w:r>
      <w:r>
        <w:rPr>
          <w:rFonts w:asciiTheme="minorHAnsi" w:eastAsiaTheme="minorEastAsia" w:hAnsiTheme="minorHAnsi" w:cs="Times New Roman"/>
          <w:color w:val="auto"/>
          <w:szCs w:val="24"/>
          <w:lang w:eastAsia="en-US"/>
        </w:rPr>
        <w:t xml:space="preserve">g respectively [1] as shown in figure 3. </w:t>
      </w:r>
    </w:p>
    <w:p w:rsidR="000C22EF" w:rsidRPr="004D5C5E" w:rsidRDefault="000C22EF" w:rsidP="000C22EF">
      <w:pPr>
        <w:spacing w:line="360" w:lineRule="auto"/>
        <w:jc w:val="both"/>
        <w:rPr>
          <w:rFonts w:asciiTheme="minorHAnsi" w:eastAsiaTheme="minorEastAsia" w:hAnsiTheme="minorHAnsi" w:cs="Times New Roman"/>
          <w:color w:val="auto"/>
          <w:szCs w:val="24"/>
          <w:lang w:eastAsia="en-US"/>
        </w:rPr>
      </w:pPr>
    </w:p>
    <w:p w:rsidR="000C22EF" w:rsidRPr="004D5C5E" w:rsidRDefault="000C22EF" w:rsidP="000C22EF">
      <w:pPr>
        <w:keepNext/>
        <w:spacing w:line="360" w:lineRule="auto"/>
        <w:jc w:val="both"/>
        <w:rPr>
          <w:rFonts w:asciiTheme="minorHAnsi" w:eastAsiaTheme="minorEastAsia" w:hAnsiTheme="minorHAnsi" w:cstheme="minorBidi"/>
          <w:color w:val="auto"/>
          <w:szCs w:val="24"/>
          <w:lang w:eastAsia="en-US"/>
        </w:rPr>
      </w:pPr>
      <w:r>
        <w:rPr>
          <w:noProof/>
        </w:rPr>
        <w:drawing>
          <wp:inline distT="0" distB="0" distL="0" distR="0" wp14:anchorId="3A80C06F" wp14:editId="786324DC">
            <wp:extent cx="4572000" cy="2921924"/>
            <wp:effectExtent l="0" t="0" r="25400" b="247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22EF" w:rsidRPr="004D5C5E" w:rsidRDefault="000C22EF" w:rsidP="000C22EF">
      <w:pPr>
        <w:spacing w:after="200" w:line="360" w:lineRule="auto"/>
        <w:jc w:val="both"/>
        <w:rPr>
          <w:rFonts w:asciiTheme="minorHAnsi" w:eastAsiaTheme="minorEastAsia" w:hAnsiTheme="minorHAnsi" w:cstheme="minorBidi"/>
          <w:b/>
          <w:bCs/>
          <w:color w:val="4F81BD" w:themeColor="accent1"/>
          <w:sz w:val="18"/>
          <w:szCs w:val="18"/>
          <w:lang w:eastAsia="en-US"/>
        </w:rPr>
      </w:pPr>
      <w:r w:rsidRPr="004D5C5E">
        <w:rPr>
          <w:rFonts w:asciiTheme="minorHAnsi" w:eastAsiaTheme="minorEastAsia" w:hAnsiTheme="minorHAnsi" w:cstheme="minorBidi"/>
          <w:b/>
          <w:bCs/>
          <w:color w:val="4F81BD" w:themeColor="accent1"/>
          <w:sz w:val="18"/>
          <w:szCs w:val="18"/>
          <w:lang w:eastAsia="en-US"/>
        </w:rPr>
        <w:t xml:space="preserve">Figure </w:t>
      </w:r>
      <w:r w:rsidRPr="004D5C5E">
        <w:rPr>
          <w:rFonts w:asciiTheme="minorHAnsi" w:eastAsiaTheme="minorEastAsia" w:hAnsiTheme="minorHAnsi" w:cstheme="minorBidi"/>
          <w:b/>
          <w:bCs/>
          <w:color w:val="4F81BD" w:themeColor="accent1"/>
          <w:sz w:val="18"/>
          <w:szCs w:val="18"/>
          <w:lang w:eastAsia="en-US"/>
        </w:rPr>
        <w:fldChar w:fldCharType="begin"/>
      </w:r>
      <w:r w:rsidRPr="004D5C5E">
        <w:rPr>
          <w:rFonts w:asciiTheme="minorHAnsi" w:eastAsiaTheme="minorEastAsia" w:hAnsiTheme="minorHAnsi" w:cstheme="minorBidi"/>
          <w:b/>
          <w:bCs/>
          <w:color w:val="4F81BD" w:themeColor="accent1"/>
          <w:sz w:val="18"/>
          <w:szCs w:val="18"/>
          <w:lang w:eastAsia="en-US"/>
        </w:rPr>
        <w:instrText xml:space="preserve"> SEQ Figure \* ARABIC </w:instrText>
      </w:r>
      <w:r w:rsidRPr="004D5C5E">
        <w:rPr>
          <w:rFonts w:asciiTheme="minorHAnsi" w:eastAsiaTheme="minorEastAsia" w:hAnsiTheme="minorHAnsi" w:cstheme="minorBidi"/>
          <w:b/>
          <w:bCs/>
          <w:color w:val="4F81BD" w:themeColor="accent1"/>
          <w:sz w:val="18"/>
          <w:szCs w:val="18"/>
          <w:lang w:eastAsia="en-US"/>
        </w:rPr>
        <w:fldChar w:fldCharType="separate"/>
      </w:r>
      <w:r>
        <w:rPr>
          <w:rFonts w:asciiTheme="minorHAnsi" w:eastAsiaTheme="minorEastAsia" w:hAnsiTheme="minorHAnsi" w:cstheme="minorBidi"/>
          <w:b/>
          <w:bCs/>
          <w:noProof/>
          <w:color w:val="4F81BD" w:themeColor="accent1"/>
          <w:sz w:val="18"/>
          <w:szCs w:val="18"/>
          <w:lang w:eastAsia="en-US"/>
        </w:rPr>
        <w:t>3</w:t>
      </w:r>
      <w:r w:rsidRPr="004D5C5E">
        <w:rPr>
          <w:rFonts w:asciiTheme="minorHAnsi" w:eastAsiaTheme="minorEastAsia" w:hAnsiTheme="minorHAnsi" w:cstheme="minorBidi"/>
          <w:b/>
          <w:bCs/>
          <w:noProof/>
          <w:color w:val="4F81BD" w:themeColor="accent1"/>
          <w:sz w:val="18"/>
          <w:szCs w:val="18"/>
          <w:lang w:eastAsia="en-US"/>
        </w:rPr>
        <w:fldChar w:fldCharType="end"/>
      </w:r>
      <w:r w:rsidRPr="004D5C5E">
        <w:rPr>
          <w:rFonts w:asciiTheme="minorHAnsi" w:eastAsiaTheme="minorEastAsia" w:hAnsiTheme="minorHAnsi" w:cstheme="minorBidi"/>
          <w:b/>
          <w:bCs/>
          <w:color w:val="4F81BD" w:themeColor="accent1"/>
          <w:sz w:val="18"/>
          <w:szCs w:val="18"/>
          <w:lang w:eastAsia="en-US"/>
        </w:rPr>
        <w:t>- World Elevator Market % Share</w:t>
      </w:r>
    </w:p>
    <w:p w:rsidR="000C22EF" w:rsidRDefault="000C22EF" w:rsidP="000C22EF">
      <w:pPr>
        <w:spacing w:line="360" w:lineRule="auto"/>
        <w:jc w:val="both"/>
        <w:rPr>
          <w:rFonts w:asciiTheme="minorHAnsi" w:eastAsiaTheme="minorEastAsia" w:hAnsiTheme="minorHAnsi" w:cstheme="minorBidi"/>
          <w:color w:val="auto"/>
          <w:szCs w:val="24"/>
          <w:lang w:eastAsia="en-US"/>
        </w:rPr>
      </w:pPr>
      <w:r w:rsidRPr="004D5C5E">
        <w:rPr>
          <w:rFonts w:asciiTheme="minorHAnsi" w:eastAsiaTheme="minorEastAsia" w:hAnsiTheme="minorHAnsi" w:cstheme="minorBidi"/>
          <w:color w:val="auto"/>
          <w:szCs w:val="24"/>
          <w:lang w:eastAsia="en-US"/>
        </w:rPr>
        <w:t xml:space="preserve">The Equipment market percentage share has steadily increased from 35% in 1994 to 45% in 2014, compared to the decline in the Services (however still with a considerably higher market share) of 65% in the same period of time. </w:t>
      </w:r>
      <w:r>
        <w:rPr>
          <w:rFonts w:asciiTheme="minorHAnsi" w:eastAsiaTheme="minorEastAsia" w:hAnsiTheme="minorHAnsi" w:cstheme="minorBidi"/>
          <w:color w:val="auto"/>
          <w:szCs w:val="24"/>
          <w:lang w:eastAsia="en-US"/>
        </w:rPr>
        <w:t xml:space="preserve">This trend is forecasted to continue and the Equipment market will have a majority share of the market within ten years. </w:t>
      </w:r>
    </w:p>
    <w:p w:rsidR="000C22EF" w:rsidRDefault="000C22EF" w:rsidP="000C22EF">
      <w:pPr>
        <w:spacing w:line="360" w:lineRule="auto"/>
        <w:jc w:val="both"/>
        <w:rPr>
          <w:rFonts w:asciiTheme="minorHAnsi" w:eastAsiaTheme="minorEastAsia" w:hAnsiTheme="minorHAnsi" w:cstheme="minorBidi"/>
          <w:color w:val="auto"/>
          <w:szCs w:val="24"/>
          <w:lang w:eastAsia="en-US"/>
        </w:rPr>
      </w:pPr>
    </w:p>
    <w:p w:rsidR="000C22EF" w:rsidRDefault="000C22EF" w:rsidP="000C22EF">
      <w:pPr>
        <w:spacing w:line="360" w:lineRule="auto"/>
        <w:jc w:val="both"/>
        <w:rPr>
          <w:rFonts w:asciiTheme="minorHAnsi" w:eastAsiaTheme="minorEastAsia" w:hAnsiTheme="minorHAnsi" w:cstheme="minorBidi"/>
          <w:color w:val="auto"/>
          <w:szCs w:val="24"/>
          <w:lang w:eastAsia="en-US"/>
        </w:rPr>
      </w:pPr>
      <w:r>
        <w:rPr>
          <w:rFonts w:asciiTheme="minorHAnsi" w:eastAsiaTheme="minorEastAsia" w:hAnsiTheme="minorHAnsi" w:cstheme="minorBidi"/>
          <w:color w:val="auto"/>
          <w:szCs w:val="24"/>
          <w:lang w:eastAsia="en-US"/>
        </w:rPr>
        <w:t xml:space="preserve">As previously mentioned the total world urban population has increased by 52% during the last twenty years, resulting in a dramatic increase in the elevator market worldwide. Figure 4 the world elevator market value per region over this timeframe:  </w:t>
      </w:r>
    </w:p>
    <w:p w:rsidR="000C22EF" w:rsidRDefault="000C22EF" w:rsidP="000C22EF">
      <w:pPr>
        <w:keepNext/>
        <w:spacing w:line="360" w:lineRule="auto"/>
        <w:jc w:val="both"/>
      </w:pPr>
      <w:r>
        <w:rPr>
          <w:noProof/>
        </w:rPr>
        <w:lastRenderedPageBreak/>
        <w:drawing>
          <wp:inline distT="0" distB="0" distL="0" distR="0" wp14:anchorId="0E89F127" wp14:editId="5CF527ED">
            <wp:extent cx="5270500" cy="3886200"/>
            <wp:effectExtent l="0" t="0" r="127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22EF" w:rsidRDefault="000C22EF" w:rsidP="000C22EF">
      <w:pPr>
        <w:pStyle w:val="Caption"/>
        <w:spacing w:line="360" w:lineRule="auto"/>
        <w:jc w:val="both"/>
        <w:rPr>
          <w:rFonts w:asciiTheme="minorHAnsi" w:eastAsiaTheme="minorEastAsia" w:hAnsiTheme="minorHAnsi" w:cstheme="minorBidi"/>
          <w:color w:val="auto"/>
          <w:szCs w:val="24"/>
          <w:lang w:eastAsia="en-US"/>
        </w:rPr>
      </w:pPr>
      <w:r>
        <w:t xml:space="preserve">Figure </w:t>
      </w:r>
      <w:r>
        <w:fldChar w:fldCharType="begin"/>
      </w:r>
      <w:r>
        <w:instrText xml:space="preserve"> SEQ Figure \* ARABIC </w:instrText>
      </w:r>
      <w:r>
        <w:fldChar w:fldCharType="separate"/>
      </w:r>
      <w:r>
        <w:rPr>
          <w:noProof/>
        </w:rPr>
        <w:t>4</w:t>
      </w:r>
      <w:r>
        <w:rPr>
          <w:noProof/>
        </w:rPr>
        <w:fldChar w:fldCharType="end"/>
      </w:r>
      <w:r>
        <w:t xml:space="preserve"> - World Elevator Market Share by Region</w:t>
      </w:r>
    </w:p>
    <w:p w:rsidR="000C22EF" w:rsidRPr="004D5C5E" w:rsidRDefault="000C22EF" w:rsidP="000C22EF">
      <w:pPr>
        <w:spacing w:line="360" w:lineRule="auto"/>
        <w:jc w:val="both"/>
        <w:rPr>
          <w:rFonts w:asciiTheme="minorHAnsi" w:eastAsiaTheme="minorEastAsia" w:hAnsiTheme="minorHAnsi" w:cstheme="minorBidi"/>
          <w:color w:val="auto"/>
          <w:szCs w:val="24"/>
          <w:lang w:eastAsia="en-US"/>
        </w:rPr>
      </w:pPr>
      <w:r>
        <w:rPr>
          <w:rFonts w:asciiTheme="minorHAnsi" w:eastAsiaTheme="minorEastAsia" w:hAnsiTheme="minorHAnsi" w:cstheme="minorBidi"/>
          <w:color w:val="auto"/>
          <w:szCs w:val="24"/>
          <w:lang w:eastAsia="en-US"/>
        </w:rPr>
        <w:t>From this diagram we can clearly see that the market within Western Europe has consistently been the most valuable market for elevator manufacturers and service providers over the past twenty years. However at the turn of the millennium, an emerging market in Asia has brought a significant increase in the market value to a point where it is now (2014) the most valuable market worldwide. This trend is said to continue as the world urban population increases and in particular the urban population within Asia increases. It is estimated</w:t>
      </w:r>
      <w:r>
        <w:rPr>
          <w:rFonts w:asciiTheme="minorHAnsi" w:eastAsiaTheme="minorEastAsia" w:hAnsiTheme="minorHAnsi" w:cstheme="minorBidi"/>
          <w:color w:val="auto"/>
          <w:szCs w:val="24"/>
          <w:lang w:eastAsia="en-US"/>
        </w:rPr>
        <w:t xml:space="preserve"> [4</w:t>
      </w:r>
      <w:r w:rsidRPr="000C22EF">
        <w:rPr>
          <w:rFonts w:asciiTheme="minorHAnsi" w:eastAsiaTheme="minorEastAsia" w:hAnsiTheme="minorHAnsi" w:cstheme="minorBidi"/>
          <w:color w:val="auto"/>
          <w:szCs w:val="24"/>
          <w:lang w:eastAsia="en-US"/>
        </w:rPr>
        <w:t>]</w:t>
      </w:r>
      <w:r>
        <w:rPr>
          <w:rFonts w:asciiTheme="minorHAnsi" w:eastAsiaTheme="minorEastAsia" w:hAnsiTheme="minorHAnsi" w:cstheme="minorBidi"/>
          <w:color w:val="auto"/>
          <w:szCs w:val="24"/>
          <w:lang w:eastAsia="en-US"/>
        </w:rPr>
        <w:t xml:space="preserve"> </w:t>
      </w:r>
      <w:r>
        <w:rPr>
          <w:rFonts w:asciiTheme="minorHAnsi" w:eastAsiaTheme="minorEastAsia" w:hAnsiTheme="minorHAnsi" w:cstheme="minorBidi"/>
          <w:color w:val="auto"/>
          <w:szCs w:val="24"/>
          <w:lang w:eastAsia="en-US"/>
        </w:rPr>
        <w:t xml:space="preserve">that the rural populations of China and India currently stand at 48% and 68% respectively, compared to Western Europe where over 80% of its residents live in urban environments. As the urban population of Asia increases, the need for commercial and social buildings equipped with elevators and escalators will only increase. </w:t>
      </w:r>
    </w:p>
    <w:p w:rsidR="000C22EF" w:rsidRDefault="000C22EF" w:rsidP="000C22EF">
      <w:pPr>
        <w:spacing w:line="360" w:lineRule="auto"/>
        <w:jc w:val="both"/>
        <w:rPr>
          <w:rFonts w:asciiTheme="minorHAnsi" w:hAnsiTheme="minorHAnsi"/>
        </w:rPr>
      </w:pPr>
    </w:p>
    <w:p w:rsidR="000C22EF" w:rsidRDefault="000C22EF" w:rsidP="000C22EF">
      <w:pPr>
        <w:spacing w:line="360" w:lineRule="auto"/>
        <w:jc w:val="both"/>
        <w:rPr>
          <w:rFonts w:asciiTheme="minorHAnsi" w:hAnsiTheme="minorHAnsi"/>
        </w:rPr>
      </w:pPr>
    </w:p>
    <w:p w:rsidR="000C22EF" w:rsidRDefault="000C22EF" w:rsidP="000C22EF">
      <w:pPr>
        <w:spacing w:line="360" w:lineRule="auto"/>
        <w:jc w:val="both"/>
        <w:rPr>
          <w:rFonts w:asciiTheme="minorHAnsi" w:hAnsiTheme="minorHAnsi"/>
        </w:rPr>
      </w:pPr>
    </w:p>
    <w:p w:rsidR="000C22EF" w:rsidRDefault="000C22EF" w:rsidP="000C22EF">
      <w:pPr>
        <w:spacing w:line="360" w:lineRule="auto"/>
        <w:jc w:val="both"/>
        <w:rPr>
          <w:rFonts w:asciiTheme="minorHAnsi" w:hAnsiTheme="minorHAnsi"/>
        </w:rPr>
      </w:pPr>
    </w:p>
    <w:p w:rsidR="000C22EF" w:rsidRDefault="000C22EF" w:rsidP="000C22EF">
      <w:pPr>
        <w:spacing w:line="360" w:lineRule="auto"/>
        <w:jc w:val="both"/>
        <w:rPr>
          <w:rFonts w:asciiTheme="minorHAnsi" w:hAnsiTheme="minorHAnsi"/>
        </w:rPr>
      </w:pPr>
    </w:p>
    <w:p w:rsidR="000C22EF" w:rsidRDefault="000C22EF" w:rsidP="000C22EF">
      <w:pPr>
        <w:spacing w:line="360" w:lineRule="auto"/>
        <w:jc w:val="both"/>
        <w:rPr>
          <w:rFonts w:asciiTheme="minorHAnsi" w:hAnsiTheme="minorHAnsi"/>
        </w:rPr>
      </w:pPr>
    </w:p>
    <w:p w:rsidR="000C22EF" w:rsidRDefault="000C22EF" w:rsidP="00183AC6">
      <w:pPr>
        <w:pStyle w:val="Heading1"/>
      </w:pPr>
      <w:r>
        <w:lastRenderedPageBreak/>
        <w:t xml:space="preserve">References </w:t>
      </w:r>
    </w:p>
    <w:p w:rsidR="000C22EF" w:rsidRDefault="000C22EF" w:rsidP="000C22EF">
      <w:pPr>
        <w:spacing w:line="360" w:lineRule="auto"/>
        <w:jc w:val="both"/>
        <w:rPr>
          <w:rFonts w:asciiTheme="minorHAnsi" w:hAnsiTheme="minorHAnsi"/>
        </w:rPr>
      </w:pPr>
    </w:p>
    <w:p w:rsidR="000C22EF" w:rsidRDefault="00EE6974" w:rsidP="000C22EF">
      <w:pPr>
        <w:pStyle w:val="ListParagraph"/>
        <w:numPr>
          <w:ilvl w:val="0"/>
          <w:numId w:val="1"/>
        </w:numPr>
        <w:spacing w:line="360" w:lineRule="auto"/>
        <w:jc w:val="both"/>
        <w:rPr>
          <w:rFonts w:asciiTheme="minorHAnsi" w:hAnsiTheme="minorHAnsi"/>
        </w:rPr>
      </w:pPr>
      <w:proofErr w:type="spellStart"/>
      <w:r>
        <w:rPr>
          <w:rFonts w:ascii="Verdana" w:hAnsi="Verdana"/>
          <w:sz w:val="20"/>
        </w:rPr>
        <w:t>Freedonia</w:t>
      </w:r>
      <w:proofErr w:type="spellEnd"/>
      <w:r>
        <w:rPr>
          <w:rFonts w:ascii="Verdana" w:hAnsi="Verdana"/>
          <w:sz w:val="20"/>
        </w:rPr>
        <w:t xml:space="preserve"> Group, Inc. (2013).</w:t>
      </w:r>
      <w:r>
        <w:rPr>
          <w:rStyle w:val="apple-converted-space"/>
          <w:rFonts w:ascii="Verdana" w:hAnsi="Verdana"/>
          <w:sz w:val="20"/>
        </w:rPr>
        <w:t> </w:t>
      </w:r>
      <w:r>
        <w:rPr>
          <w:rFonts w:ascii="Verdana" w:hAnsi="Verdana"/>
          <w:i/>
          <w:iCs/>
          <w:sz w:val="20"/>
        </w:rPr>
        <w:t xml:space="preserve">World </w:t>
      </w:r>
      <w:proofErr w:type="gramStart"/>
      <w:r>
        <w:rPr>
          <w:rFonts w:ascii="Verdana" w:hAnsi="Verdana"/>
          <w:i/>
          <w:iCs/>
          <w:sz w:val="20"/>
        </w:rPr>
        <w:t>Elevators .</w:t>
      </w:r>
      <w:r>
        <w:rPr>
          <w:rStyle w:val="apple-converted-space"/>
          <w:rFonts w:ascii="Verdana" w:hAnsi="Verdana"/>
          <w:sz w:val="20"/>
        </w:rPr>
        <w:t> </w:t>
      </w:r>
      <w:proofErr w:type="gramEnd"/>
      <w:r>
        <w:rPr>
          <w:rFonts w:ascii="Verdana" w:hAnsi="Verdana"/>
          <w:sz w:val="20"/>
        </w:rPr>
        <w:t>Available: http://www.freedoniagroup.com/inthenews/566557/world-elevators.htm. Last accessed October 2014.</w:t>
      </w:r>
      <w:r w:rsidR="000C22EF">
        <w:rPr>
          <w:rFonts w:asciiTheme="minorHAnsi" w:hAnsiTheme="minorHAnsi"/>
        </w:rPr>
        <w:t>Sensorsmag Elevator market developing countries</w:t>
      </w:r>
    </w:p>
    <w:p w:rsidR="00EE6974" w:rsidRDefault="00EE6974" w:rsidP="000C22EF">
      <w:pPr>
        <w:pStyle w:val="ListParagraph"/>
        <w:numPr>
          <w:ilvl w:val="0"/>
          <w:numId w:val="1"/>
        </w:numPr>
        <w:spacing w:line="360" w:lineRule="auto"/>
        <w:jc w:val="both"/>
        <w:rPr>
          <w:rFonts w:asciiTheme="minorHAnsi" w:hAnsiTheme="minorHAnsi"/>
        </w:rPr>
      </w:pPr>
      <w:r>
        <w:rPr>
          <w:rFonts w:ascii="Verdana" w:hAnsi="Verdana"/>
          <w:sz w:val="20"/>
        </w:rPr>
        <w:t>Sensors Online. (2013).</w:t>
      </w:r>
      <w:r>
        <w:rPr>
          <w:rStyle w:val="apple-converted-space"/>
          <w:rFonts w:ascii="Verdana" w:hAnsi="Verdana"/>
          <w:sz w:val="20"/>
        </w:rPr>
        <w:t> </w:t>
      </w:r>
      <w:r>
        <w:rPr>
          <w:rFonts w:ascii="Verdana" w:hAnsi="Verdana"/>
          <w:i/>
          <w:iCs/>
          <w:sz w:val="20"/>
        </w:rPr>
        <w:t>Global Demand for Elevator Equipment &amp; Services to Reach $111 Billion.</w:t>
      </w:r>
      <w:r>
        <w:rPr>
          <w:rStyle w:val="apple-converted-space"/>
          <w:rFonts w:ascii="Verdana" w:hAnsi="Verdana"/>
          <w:sz w:val="20"/>
        </w:rPr>
        <w:t> </w:t>
      </w:r>
      <w:r>
        <w:rPr>
          <w:rFonts w:ascii="Verdana" w:hAnsi="Verdana"/>
          <w:sz w:val="20"/>
        </w:rPr>
        <w:t>Available: http://www.sensorsmag.com/sensors/news/global-demand-elevator-equipment-services-reach-111-billion-12551. Last accessed October 2014.</w:t>
      </w:r>
    </w:p>
    <w:p w:rsidR="00217AB3" w:rsidRPr="00183AC6" w:rsidRDefault="00183AC6" w:rsidP="00183AC6">
      <w:pPr>
        <w:pStyle w:val="ListParagraph"/>
        <w:numPr>
          <w:ilvl w:val="0"/>
          <w:numId w:val="1"/>
        </w:numPr>
        <w:spacing w:line="360" w:lineRule="auto"/>
        <w:rPr>
          <w:rFonts w:asciiTheme="minorHAnsi" w:hAnsiTheme="minorHAnsi"/>
        </w:rPr>
      </w:pPr>
      <w:r>
        <w:rPr>
          <w:rFonts w:ascii="Verdana" w:hAnsi="Verdana"/>
          <w:sz w:val="20"/>
        </w:rPr>
        <w:t xml:space="preserve">HM Government. (2010). Access </w:t>
      </w:r>
      <w:r>
        <w:rPr>
          <w:rFonts w:ascii="Verdana" w:hAnsi="Verdana"/>
          <w:sz w:val="20"/>
        </w:rPr>
        <w:t>to and use of buildings. Part M</w:t>
      </w:r>
      <w:r>
        <w:rPr>
          <w:rFonts w:ascii="Verdana" w:hAnsi="Verdana"/>
          <w:sz w:val="20"/>
        </w:rPr>
        <w:t>.</w:t>
      </w:r>
      <w:r>
        <w:rPr>
          <w:rStyle w:val="apple-converted-space"/>
          <w:rFonts w:ascii="Verdana" w:hAnsi="Verdana"/>
          <w:sz w:val="20"/>
        </w:rPr>
        <w:t> </w:t>
      </w:r>
      <w:r>
        <w:rPr>
          <w:rFonts w:ascii="Verdana" w:hAnsi="Verdana"/>
          <w:i/>
          <w:iCs/>
          <w:sz w:val="20"/>
        </w:rPr>
        <w:t>The Building Regulations 2010</w:t>
      </w:r>
      <w:r>
        <w:rPr>
          <w:rFonts w:ascii="Verdana" w:hAnsi="Verdana"/>
          <w:sz w:val="20"/>
        </w:rPr>
        <w:t>. 1 (Section 3), p36-40.</w:t>
      </w:r>
    </w:p>
    <w:p w:rsidR="00183AC6" w:rsidRPr="00183AC6" w:rsidRDefault="00183AC6" w:rsidP="00183AC6">
      <w:pPr>
        <w:pStyle w:val="ListParagraph"/>
        <w:numPr>
          <w:ilvl w:val="0"/>
          <w:numId w:val="1"/>
        </w:numPr>
        <w:spacing w:line="360" w:lineRule="auto"/>
        <w:rPr>
          <w:rFonts w:asciiTheme="minorHAnsi" w:hAnsiTheme="minorHAnsi"/>
        </w:rPr>
      </w:pPr>
      <w:r>
        <w:rPr>
          <w:rFonts w:ascii="Verdana" w:hAnsi="Verdana"/>
          <w:sz w:val="20"/>
        </w:rPr>
        <w:t>The World Bank. (2014).</w:t>
      </w:r>
      <w:r>
        <w:rPr>
          <w:rStyle w:val="apple-converted-space"/>
          <w:rFonts w:ascii="Verdana" w:hAnsi="Verdana"/>
          <w:sz w:val="20"/>
        </w:rPr>
        <w:t> </w:t>
      </w:r>
      <w:r>
        <w:rPr>
          <w:rFonts w:ascii="Verdana" w:hAnsi="Verdana"/>
          <w:i/>
          <w:iCs/>
          <w:sz w:val="20"/>
        </w:rPr>
        <w:t>Urban Population (% of total).</w:t>
      </w:r>
      <w:r>
        <w:rPr>
          <w:rStyle w:val="apple-converted-space"/>
          <w:rFonts w:ascii="Verdana" w:hAnsi="Verdana"/>
          <w:sz w:val="20"/>
        </w:rPr>
        <w:t> </w:t>
      </w:r>
      <w:r>
        <w:rPr>
          <w:rFonts w:ascii="Verdana" w:hAnsi="Verdana"/>
          <w:sz w:val="20"/>
        </w:rPr>
        <w:t>Available: http://data.worldbank.org/indicator/SP.URB.TOTL.IN.ZS. Last accessed October 2014.</w:t>
      </w:r>
    </w:p>
    <w:sectPr w:rsidR="00183AC6" w:rsidRPr="00183AC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1F" w:rsidRDefault="000C4B1F" w:rsidP="00183AC6">
      <w:r>
        <w:separator/>
      </w:r>
    </w:p>
  </w:endnote>
  <w:endnote w:type="continuationSeparator" w:id="0">
    <w:p w:rsidR="000C4B1F" w:rsidRDefault="000C4B1F" w:rsidP="0018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1F" w:rsidRDefault="000C4B1F" w:rsidP="00183AC6">
      <w:r>
        <w:separator/>
      </w:r>
    </w:p>
  </w:footnote>
  <w:footnote w:type="continuationSeparator" w:id="0">
    <w:p w:rsidR="000C4B1F" w:rsidRDefault="000C4B1F" w:rsidP="00183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C6" w:rsidRDefault="00183AC6">
    <w:pPr>
      <w:pStyle w:val="Header"/>
    </w:pPr>
    <w:r>
      <w:t>World Elevator Market Study</w:t>
    </w:r>
  </w:p>
  <w:p w:rsidR="00183AC6" w:rsidRDefault="00183AC6">
    <w:pPr>
      <w:pStyle w:val="Header"/>
    </w:pPr>
    <w:r>
      <w:t>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A3F"/>
    <w:multiLevelType w:val="hybridMultilevel"/>
    <w:tmpl w:val="376ED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EF"/>
    <w:rsid w:val="000C22EF"/>
    <w:rsid w:val="000C4B1F"/>
    <w:rsid w:val="00183AC6"/>
    <w:rsid w:val="00217AB3"/>
    <w:rsid w:val="00EE6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2EF"/>
    <w:pPr>
      <w:spacing w:after="0" w:line="240" w:lineRule="auto"/>
    </w:pPr>
    <w:rPr>
      <w:rFonts w:ascii="Cambria" w:eastAsia="Cambria" w:hAnsi="Cambria" w:cs="Cambria"/>
      <w:color w:val="000000"/>
      <w:sz w:val="24"/>
      <w:szCs w:val="20"/>
      <w:lang w:eastAsia="en-GB"/>
    </w:rPr>
  </w:style>
  <w:style w:type="paragraph" w:styleId="Heading1">
    <w:name w:val="heading 1"/>
    <w:basedOn w:val="Normal"/>
    <w:next w:val="Normal"/>
    <w:link w:val="Heading1Char"/>
    <w:uiPriority w:val="9"/>
    <w:qFormat/>
    <w:rsid w:val="000C22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2EF"/>
    <w:rPr>
      <w:rFonts w:asciiTheme="majorHAnsi" w:eastAsiaTheme="majorEastAsia" w:hAnsiTheme="majorHAnsi" w:cstheme="majorBidi"/>
      <w:b/>
      <w:bCs/>
      <w:color w:val="345A8A" w:themeColor="accent1" w:themeShade="B5"/>
      <w:sz w:val="32"/>
      <w:szCs w:val="32"/>
      <w:lang w:eastAsia="en-GB"/>
    </w:rPr>
  </w:style>
  <w:style w:type="character" w:styleId="Hyperlink">
    <w:name w:val="Hyperlink"/>
    <w:basedOn w:val="DefaultParagraphFont"/>
    <w:uiPriority w:val="99"/>
    <w:unhideWhenUsed/>
    <w:rsid w:val="000C22EF"/>
    <w:rPr>
      <w:color w:val="0000FF" w:themeColor="hyperlink"/>
      <w:u w:val="single"/>
    </w:rPr>
  </w:style>
  <w:style w:type="paragraph" w:styleId="ListParagraph">
    <w:name w:val="List Paragraph"/>
    <w:basedOn w:val="Normal"/>
    <w:uiPriority w:val="34"/>
    <w:qFormat/>
    <w:rsid w:val="000C22EF"/>
    <w:pPr>
      <w:ind w:left="720"/>
      <w:contextualSpacing/>
    </w:pPr>
  </w:style>
  <w:style w:type="paragraph" w:styleId="Caption">
    <w:name w:val="caption"/>
    <w:basedOn w:val="Normal"/>
    <w:next w:val="Normal"/>
    <w:unhideWhenUsed/>
    <w:qFormat/>
    <w:rsid w:val="000C22E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C22EF"/>
    <w:rPr>
      <w:rFonts w:ascii="Tahoma" w:hAnsi="Tahoma" w:cs="Tahoma"/>
      <w:sz w:val="16"/>
      <w:szCs w:val="16"/>
    </w:rPr>
  </w:style>
  <w:style w:type="character" w:customStyle="1" w:styleId="BalloonTextChar">
    <w:name w:val="Balloon Text Char"/>
    <w:basedOn w:val="DefaultParagraphFont"/>
    <w:link w:val="BalloonText"/>
    <w:uiPriority w:val="99"/>
    <w:semiHidden/>
    <w:rsid w:val="000C22EF"/>
    <w:rPr>
      <w:rFonts w:ascii="Tahoma" w:eastAsia="Cambria" w:hAnsi="Tahoma" w:cs="Tahoma"/>
      <w:color w:val="000000"/>
      <w:sz w:val="16"/>
      <w:szCs w:val="16"/>
      <w:lang w:eastAsia="en-GB"/>
    </w:rPr>
  </w:style>
  <w:style w:type="paragraph" w:styleId="Title">
    <w:name w:val="Title"/>
    <w:basedOn w:val="Normal"/>
    <w:next w:val="Normal"/>
    <w:link w:val="TitleChar"/>
    <w:rsid w:val="000C22EF"/>
    <w:pPr>
      <w:keepNext/>
      <w:keepLines/>
      <w:spacing w:after="300"/>
    </w:pPr>
    <w:rPr>
      <w:rFonts w:ascii="Calibri" w:eastAsia="Calibri" w:hAnsi="Calibri" w:cs="Calibri"/>
      <w:color w:val="17375E"/>
      <w:sz w:val="52"/>
    </w:rPr>
  </w:style>
  <w:style w:type="character" w:customStyle="1" w:styleId="TitleChar">
    <w:name w:val="Title Char"/>
    <w:basedOn w:val="DefaultParagraphFont"/>
    <w:link w:val="Title"/>
    <w:rsid w:val="000C22EF"/>
    <w:rPr>
      <w:rFonts w:ascii="Calibri" w:eastAsia="Calibri" w:hAnsi="Calibri" w:cs="Calibri"/>
      <w:color w:val="17375E"/>
      <w:sz w:val="52"/>
      <w:szCs w:val="20"/>
      <w:lang w:eastAsia="en-GB"/>
    </w:rPr>
  </w:style>
  <w:style w:type="character" w:customStyle="1" w:styleId="apple-converted-space">
    <w:name w:val="apple-converted-space"/>
    <w:basedOn w:val="DefaultParagraphFont"/>
    <w:rsid w:val="00EE6974"/>
  </w:style>
  <w:style w:type="paragraph" w:styleId="Header">
    <w:name w:val="header"/>
    <w:basedOn w:val="Normal"/>
    <w:link w:val="HeaderChar"/>
    <w:uiPriority w:val="99"/>
    <w:unhideWhenUsed/>
    <w:rsid w:val="00183AC6"/>
    <w:pPr>
      <w:tabs>
        <w:tab w:val="center" w:pos="4513"/>
        <w:tab w:val="right" w:pos="9026"/>
      </w:tabs>
    </w:pPr>
  </w:style>
  <w:style w:type="character" w:customStyle="1" w:styleId="HeaderChar">
    <w:name w:val="Header Char"/>
    <w:basedOn w:val="DefaultParagraphFont"/>
    <w:link w:val="Header"/>
    <w:uiPriority w:val="99"/>
    <w:rsid w:val="00183AC6"/>
    <w:rPr>
      <w:rFonts w:ascii="Cambria" w:eastAsia="Cambria" w:hAnsi="Cambria" w:cs="Cambria"/>
      <w:color w:val="000000"/>
      <w:sz w:val="24"/>
      <w:szCs w:val="20"/>
      <w:lang w:eastAsia="en-GB"/>
    </w:rPr>
  </w:style>
  <w:style w:type="paragraph" w:styleId="Footer">
    <w:name w:val="footer"/>
    <w:basedOn w:val="Normal"/>
    <w:link w:val="FooterChar"/>
    <w:uiPriority w:val="99"/>
    <w:unhideWhenUsed/>
    <w:rsid w:val="00183AC6"/>
    <w:pPr>
      <w:tabs>
        <w:tab w:val="center" w:pos="4513"/>
        <w:tab w:val="right" w:pos="9026"/>
      </w:tabs>
    </w:pPr>
  </w:style>
  <w:style w:type="character" w:customStyle="1" w:styleId="FooterChar">
    <w:name w:val="Footer Char"/>
    <w:basedOn w:val="DefaultParagraphFont"/>
    <w:link w:val="Footer"/>
    <w:uiPriority w:val="99"/>
    <w:rsid w:val="00183AC6"/>
    <w:rPr>
      <w:rFonts w:ascii="Cambria" w:eastAsia="Cambria" w:hAnsi="Cambria" w:cs="Cambria"/>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2EF"/>
    <w:pPr>
      <w:spacing w:after="0" w:line="240" w:lineRule="auto"/>
    </w:pPr>
    <w:rPr>
      <w:rFonts w:ascii="Cambria" w:eastAsia="Cambria" w:hAnsi="Cambria" w:cs="Cambria"/>
      <w:color w:val="000000"/>
      <w:sz w:val="24"/>
      <w:szCs w:val="20"/>
      <w:lang w:eastAsia="en-GB"/>
    </w:rPr>
  </w:style>
  <w:style w:type="paragraph" w:styleId="Heading1">
    <w:name w:val="heading 1"/>
    <w:basedOn w:val="Normal"/>
    <w:next w:val="Normal"/>
    <w:link w:val="Heading1Char"/>
    <w:uiPriority w:val="9"/>
    <w:qFormat/>
    <w:rsid w:val="000C22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2EF"/>
    <w:rPr>
      <w:rFonts w:asciiTheme="majorHAnsi" w:eastAsiaTheme="majorEastAsia" w:hAnsiTheme="majorHAnsi" w:cstheme="majorBidi"/>
      <w:b/>
      <w:bCs/>
      <w:color w:val="345A8A" w:themeColor="accent1" w:themeShade="B5"/>
      <w:sz w:val="32"/>
      <w:szCs w:val="32"/>
      <w:lang w:eastAsia="en-GB"/>
    </w:rPr>
  </w:style>
  <w:style w:type="character" w:styleId="Hyperlink">
    <w:name w:val="Hyperlink"/>
    <w:basedOn w:val="DefaultParagraphFont"/>
    <w:uiPriority w:val="99"/>
    <w:unhideWhenUsed/>
    <w:rsid w:val="000C22EF"/>
    <w:rPr>
      <w:color w:val="0000FF" w:themeColor="hyperlink"/>
      <w:u w:val="single"/>
    </w:rPr>
  </w:style>
  <w:style w:type="paragraph" w:styleId="ListParagraph">
    <w:name w:val="List Paragraph"/>
    <w:basedOn w:val="Normal"/>
    <w:uiPriority w:val="34"/>
    <w:qFormat/>
    <w:rsid w:val="000C22EF"/>
    <w:pPr>
      <w:ind w:left="720"/>
      <w:contextualSpacing/>
    </w:pPr>
  </w:style>
  <w:style w:type="paragraph" w:styleId="Caption">
    <w:name w:val="caption"/>
    <w:basedOn w:val="Normal"/>
    <w:next w:val="Normal"/>
    <w:unhideWhenUsed/>
    <w:qFormat/>
    <w:rsid w:val="000C22EF"/>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0C22EF"/>
    <w:rPr>
      <w:rFonts w:ascii="Tahoma" w:hAnsi="Tahoma" w:cs="Tahoma"/>
      <w:sz w:val="16"/>
      <w:szCs w:val="16"/>
    </w:rPr>
  </w:style>
  <w:style w:type="character" w:customStyle="1" w:styleId="BalloonTextChar">
    <w:name w:val="Balloon Text Char"/>
    <w:basedOn w:val="DefaultParagraphFont"/>
    <w:link w:val="BalloonText"/>
    <w:uiPriority w:val="99"/>
    <w:semiHidden/>
    <w:rsid w:val="000C22EF"/>
    <w:rPr>
      <w:rFonts w:ascii="Tahoma" w:eastAsia="Cambria" w:hAnsi="Tahoma" w:cs="Tahoma"/>
      <w:color w:val="000000"/>
      <w:sz w:val="16"/>
      <w:szCs w:val="16"/>
      <w:lang w:eastAsia="en-GB"/>
    </w:rPr>
  </w:style>
  <w:style w:type="paragraph" w:styleId="Title">
    <w:name w:val="Title"/>
    <w:basedOn w:val="Normal"/>
    <w:next w:val="Normal"/>
    <w:link w:val="TitleChar"/>
    <w:rsid w:val="000C22EF"/>
    <w:pPr>
      <w:keepNext/>
      <w:keepLines/>
      <w:spacing w:after="300"/>
    </w:pPr>
    <w:rPr>
      <w:rFonts w:ascii="Calibri" w:eastAsia="Calibri" w:hAnsi="Calibri" w:cs="Calibri"/>
      <w:color w:val="17375E"/>
      <w:sz w:val="52"/>
    </w:rPr>
  </w:style>
  <w:style w:type="character" w:customStyle="1" w:styleId="TitleChar">
    <w:name w:val="Title Char"/>
    <w:basedOn w:val="DefaultParagraphFont"/>
    <w:link w:val="Title"/>
    <w:rsid w:val="000C22EF"/>
    <w:rPr>
      <w:rFonts w:ascii="Calibri" w:eastAsia="Calibri" w:hAnsi="Calibri" w:cs="Calibri"/>
      <w:color w:val="17375E"/>
      <w:sz w:val="52"/>
      <w:szCs w:val="20"/>
      <w:lang w:eastAsia="en-GB"/>
    </w:rPr>
  </w:style>
  <w:style w:type="character" w:customStyle="1" w:styleId="apple-converted-space">
    <w:name w:val="apple-converted-space"/>
    <w:basedOn w:val="DefaultParagraphFont"/>
    <w:rsid w:val="00EE6974"/>
  </w:style>
  <w:style w:type="paragraph" w:styleId="Header">
    <w:name w:val="header"/>
    <w:basedOn w:val="Normal"/>
    <w:link w:val="HeaderChar"/>
    <w:uiPriority w:val="99"/>
    <w:unhideWhenUsed/>
    <w:rsid w:val="00183AC6"/>
    <w:pPr>
      <w:tabs>
        <w:tab w:val="center" w:pos="4513"/>
        <w:tab w:val="right" w:pos="9026"/>
      </w:tabs>
    </w:pPr>
  </w:style>
  <w:style w:type="character" w:customStyle="1" w:styleId="HeaderChar">
    <w:name w:val="Header Char"/>
    <w:basedOn w:val="DefaultParagraphFont"/>
    <w:link w:val="Header"/>
    <w:uiPriority w:val="99"/>
    <w:rsid w:val="00183AC6"/>
    <w:rPr>
      <w:rFonts w:ascii="Cambria" w:eastAsia="Cambria" w:hAnsi="Cambria" w:cs="Cambria"/>
      <w:color w:val="000000"/>
      <w:sz w:val="24"/>
      <w:szCs w:val="20"/>
      <w:lang w:eastAsia="en-GB"/>
    </w:rPr>
  </w:style>
  <w:style w:type="paragraph" w:styleId="Footer">
    <w:name w:val="footer"/>
    <w:basedOn w:val="Normal"/>
    <w:link w:val="FooterChar"/>
    <w:uiPriority w:val="99"/>
    <w:unhideWhenUsed/>
    <w:rsid w:val="00183AC6"/>
    <w:pPr>
      <w:tabs>
        <w:tab w:val="center" w:pos="4513"/>
        <w:tab w:val="right" w:pos="9026"/>
      </w:tabs>
    </w:pPr>
  </w:style>
  <w:style w:type="character" w:customStyle="1" w:styleId="FooterChar">
    <w:name w:val="Footer Char"/>
    <w:basedOn w:val="DefaultParagraphFont"/>
    <w:link w:val="Footer"/>
    <w:uiPriority w:val="99"/>
    <w:rsid w:val="00183AC6"/>
    <w:rPr>
      <w:rFonts w:ascii="Cambria" w:eastAsia="Cambria" w:hAnsi="Cambria" w:cs="Cambria"/>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Daniel:Uni%20Dropbox:Dropbox:Elevator%20Project:World%20Elevator%20Market%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Daniel:Uni%20Dropbox:Dropbox:Elevator%20Project:World%20Elevator%20Market%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Daniel:Uni%20Dropbox:Dropbox:Elevator%20Project:World%20Elevator%20Market%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World Elevator Market</a:t>
            </a:r>
          </a:p>
        </c:rich>
      </c:tx>
      <c:overlay val="0"/>
    </c:title>
    <c:autoTitleDeleted val="0"/>
    <c:plotArea>
      <c:layout/>
      <c:lineChart>
        <c:grouping val="standard"/>
        <c:varyColors val="0"/>
        <c:ser>
          <c:idx val="0"/>
          <c:order val="0"/>
          <c:tx>
            <c:v>Equipment Market</c:v>
          </c:tx>
          <c:marker>
            <c:symbol val="none"/>
          </c:marker>
          <c:cat>
            <c:numRef>
              <c:f>Sheet1!$A$11:$A$15</c:f>
              <c:numCache>
                <c:formatCode>General</c:formatCode>
                <c:ptCount val="5"/>
                <c:pt idx="0">
                  <c:v>1994</c:v>
                </c:pt>
                <c:pt idx="1">
                  <c:v>1999</c:v>
                </c:pt>
                <c:pt idx="2">
                  <c:v>2004</c:v>
                </c:pt>
                <c:pt idx="3">
                  <c:v>2009</c:v>
                </c:pt>
                <c:pt idx="4">
                  <c:v>2014</c:v>
                </c:pt>
              </c:numCache>
            </c:numRef>
          </c:cat>
          <c:val>
            <c:numRef>
              <c:f>Sheet1!$C$11:$C$15</c:f>
              <c:numCache>
                <c:formatCode>General</c:formatCode>
                <c:ptCount val="5"/>
                <c:pt idx="0">
                  <c:v>8.8000000000000007</c:v>
                </c:pt>
                <c:pt idx="1">
                  <c:v>10.9</c:v>
                </c:pt>
                <c:pt idx="2">
                  <c:v>15</c:v>
                </c:pt>
                <c:pt idx="3">
                  <c:v>21.2</c:v>
                </c:pt>
                <c:pt idx="4">
                  <c:v>29.5</c:v>
                </c:pt>
              </c:numCache>
            </c:numRef>
          </c:val>
          <c:smooth val="0"/>
        </c:ser>
        <c:ser>
          <c:idx val="1"/>
          <c:order val="1"/>
          <c:tx>
            <c:v>Services Market</c:v>
          </c:tx>
          <c:marker>
            <c:symbol val="none"/>
          </c:marker>
          <c:cat>
            <c:numRef>
              <c:f>Sheet1!$A$11:$A$15</c:f>
              <c:numCache>
                <c:formatCode>General</c:formatCode>
                <c:ptCount val="5"/>
                <c:pt idx="0">
                  <c:v>1994</c:v>
                </c:pt>
                <c:pt idx="1">
                  <c:v>1999</c:v>
                </c:pt>
                <c:pt idx="2">
                  <c:v>2004</c:v>
                </c:pt>
                <c:pt idx="3">
                  <c:v>2009</c:v>
                </c:pt>
                <c:pt idx="4">
                  <c:v>2014</c:v>
                </c:pt>
              </c:numCache>
            </c:numRef>
          </c:cat>
          <c:val>
            <c:numRef>
              <c:f>Sheet1!$H$11:$H$15</c:f>
              <c:numCache>
                <c:formatCode>General</c:formatCode>
                <c:ptCount val="5"/>
                <c:pt idx="0">
                  <c:v>16.100000000000001</c:v>
                </c:pt>
                <c:pt idx="1">
                  <c:v>19.100000000000001</c:v>
                </c:pt>
                <c:pt idx="2">
                  <c:v>23.5</c:v>
                </c:pt>
                <c:pt idx="3">
                  <c:v>29.3</c:v>
                </c:pt>
                <c:pt idx="4">
                  <c:v>36.799999999999997</c:v>
                </c:pt>
              </c:numCache>
            </c:numRef>
          </c:val>
          <c:smooth val="0"/>
        </c:ser>
        <c:ser>
          <c:idx val="2"/>
          <c:order val="2"/>
          <c:tx>
            <c:v>Total Elevator Market</c:v>
          </c:tx>
          <c:marker>
            <c:symbol val="none"/>
          </c:marker>
          <c:cat>
            <c:numRef>
              <c:f>Sheet1!$A$11:$A$15</c:f>
              <c:numCache>
                <c:formatCode>General</c:formatCode>
                <c:ptCount val="5"/>
                <c:pt idx="0">
                  <c:v>1994</c:v>
                </c:pt>
                <c:pt idx="1">
                  <c:v>1999</c:v>
                </c:pt>
                <c:pt idx="2">
                  <c:v>2004</c:v>
                </c:pt>
                <c:pt idx="3">
                  <c:v>2009</c:v>
                </c:pt>
                <c:pt idx="4">
                  <c:v>2014</c:v>
                </c:pt>
              </c:numCache>
            </c:numRef>
          </c:cat>
          <c:val>
            <c:numRef>
              <c:f>Sheet1!$B$11:$B$15</c:f>
              <c:numCache>
                <c:formatCode>General</c:formatCode>
                <c:ptCount val="5"/>
                <c:pt idx="0">
                  <c:v>24.9</c:v>
                </c:pt>
                <c:pt idx="1">
                  <c:v>30</c:v>
                </c:pt>
                <c:pt idx="2">
                  <c:v>38.5</c:v>
                </c:pt>
                <c:pt idx="3">
                  <c:v>50.5</c:v>
                </c:pt>
                <c:pt idx="4">
                  <c:v>66.2</c:v>
                </c:pt>
              </c:numCache>
            </c:numRef>
          </c:val>
          <c:smooth val="0"/>
        </c:ser>
        <c:dLbls>
          <c:showLegendKey val="0"/>
          <c:showVal val="0"/>
          <c:showCatName val="0"/>
          <c:showSerName val="0"/>
          <c:showPercent val="0"/>
          <c:showBubbleSize val="0"/>
        </c:dLbls>
        <c:marker val="1"/>
        <c:smooth val="0"/>
        <c:axId val="147940096"/>
        <c:axId val="147942016"/>
      </c:lineChart>
      <c:catAx>
        <c:axId val="147940096"/>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147942016"/>
        <c:crosses val="autoZero"/>
        <c:auto val="1"/>
        <c:lblAlgn val="ctr"/>
        <c:lblOffset val="100"/>
        <c:noMultiLvlLbl val="0"/>
      </c:catAx>
      <c:valAx>
        <c:axId val="147942016"/>
        <c:scaling>
          <c:orientation val="minMax"/>
        </c:scaling>
        <c:delete val="0"/>
        <c:axPos val="l"/>
        <c:title>
          <c:tx>
            <c:rich>
              <a:bodyPr/>
              <a:lstStyle/>
              <a:p>
                <a:pPr>
                  <a:defRPr/>
                </a:pPr>
                <a:r>
                  <a:rPr lang="en-US"/>
                  <a:t>Billions $</a:t>
                </a:r>
              </a:p>
            </c:rich>
          </c:tx>
          <c:overlay val="0"/>
        </c:title>
        <c:numFmt formatCode="General" sourceLinked="1"/>
        <c:majorTickMark val="none"/>
        <c:minorTickMark val="none"/>
        <c:tickLblPos val="nextTo"/>
        <c:crossAx val="1479400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World Elevator Market %</a:t>
            </a:r>
          </a:p>
        </c:rich>
      </c:tx>
      <c:overlay val="0"/>
    </c:title>
    <c:autoTitleDeleted val="0"/>
    <c:plotArea>
      <c:layout/>
      <c:lineChart>
        <c:grouping val="standard"/>
        <c:varyColors val="0"/>
        <c:ser>
          <c:idx val="0"/>
          <c:order val="0"/>
          <c:tx>
            <c:v>% Equipment</c:v>
          </c:tx>
          <c:marker>
            <c:symbol val="none"/>
          </c:marker>
          <c:cat>
            <c:numRef>
              <c:f>Sheet1!$A$11:$A$15</c:f>
              <c:numCache>
                <c:formatCode>General</c:formatCode>
                <c:ptCount val="5"/>
                <c:pt idx="0">
                  <c:v>1994</c:v>
                </c:pt>
                <c:pt idx="1">
                  <c:v>1999</c:v>
                </c:pt>
                <c:pt idx="2">
                  <c:v>2004</c:v>
                </c:pt>
                <c:pt idx="3">
                  <c:v>2009</c:v>
                </c:pt>
                <c:pt idx="4">
                  <c:v>2014</c:v>
                </c:pt>
              </c:numCache>
            </c:numRef>
          </c:cat>
          <c:val>
            <c:numRef>
              <c:f>Sheet1!$D$11:$D$15</c:f>
              <c:numCache>
                <c:formatCode>0.0</c:formatCode>
                <c:ptCount val="5"/>
                <c:pt idx="0">
                  <c:v>35.341365461847317</c:v>
                </c:pt>
                <c:pt idx="1">
                  <c:v>36.333333333333343</c:v>
                </c:pt>
                <c:pt idx="2">
                  <c:v>38.961038961038973</c:v>
                </c:pt>
                <c:pt idx="3">
                  <c:v>41.980198019801982</c:v>
                </c:pt>
                <c:pt idx="4">
                  <c:v>44.561933534743197</c:v>
                </c:pt>
              </c:numCache>
            </c:numRef>
          </c:val>
          <c:smooth val="0"/>
        </c:ser>
        <c:ser>
          <c:idx val="1"/>
          <c:order val="1"/>
          <c:tx>
            <c:v>% Services</c:v>
          </c:tx>
          <c:marker>
            <c:symbol val="none"/>
          </c:marker>
          <c:cat>
            <c:numRef>
              <c:f>Sheet1!$A$11:$A$15</c:f>
              <c:numCache>
                <c:formatCode>General</c:formatCode>
                <c:ptCount val="5"/>
                <c:pt idx="0">
                  <c:v>1994</c:v>
                </c:pt>
                <c:pt idx="1">
                  <c:v>1999</c:v>
                </c:pt>
                <c:pt idx="2">
                  <c:v>2004</c:v>
                </c:pt>
                <c:pt idx="3">
                  <c:v>2009</c:v>
                </c:pt>
                <c:pt idx="4">
                  <c:v>2014</c:v>
                </c:pt>
              </c:numCache>
            </c:numRef>
          </c:cat>
          <c:val>
            <c:numRef>
              <c:f>Sheet1!$I$11:$I$15</c:f>
              <c:numCache>
                <c:formatCode>0.0</c:formatCode>
                <c:ptCount val="5"/>
                <c:pt idx="0">
                  <c:v>64.658634538152555</c:v>
                </c:pt>
                <c:pt idx="1">
                  <c:v>63.666666666666607</c:v>
                </c:pt>
                <c:pt idx="2">
                  <c:v>61.038961038961027</c:v>
                </c:pt>
                <c:pt idx="3">
                  <c:v>58.019801980198018</c:v>
                </c:pt>
                <c:pt idx="4">
                  <c:v>55.589123867069468</c:v>
                </c:pt>
              </c:numCache>
            </c:numRef>
          </c:val>
          <c:smooth val="0"/>
        </c:ser>
        <c:dLbls>
          <c:showLegendKey val="0"/>
          <c:showVal val="0"/>
          <c:showCatName val="0"/>
          <c:showSerName val="0"/>
          <c:showPercent val="0"/>
          <c:showBubbleSize val="0"/>
        </c:dLbls>
        <c:marker val="1"/>
        <c:smooth val="0"/>
        <c:axId val="147959808"/>
        <c:axId val="147961728"/>
      </c:lineChart>
      <c:catAx>
        <c:axId val="147959808"/>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147961728"/>
        <c:crosses val="autoZero"/>
        <c:auto val="1"/>
        <c:lblAlgn val="ctr"/>
        <c:lblOffset val="100"/>
        <c:noMultiLvlLbl val="0"/>
      </c:catAx>
      <c:valAx>
        <c:axId val="147961728"/>
        <c:scaling>
          <c:orientation val="minMax"/>
        </c:scaling>
        <c:delete val="0"/>
        <c:axPos val="l"/>
        <c:title>
          <c:tx>
            <c:rich>
              <a:bodyPr/>
              <a:lstStyle/>
              <a:p>
                <a:pPr>
                  <a:defRPr/>
                </a:pPr>
                <a:r>
                  <a:rPr lang="en-US"/>
                  <a:t>% of Toal Market</a:t>
                </a:r>
              </a:p>
            </c:rich>
          </c:tx>
          <c:overlay val="0"/>
        </c:title>
        <c:numFmt formatCode="0.0" sourceLinked="1"/>
        <c:majorTickMark val="none"/>
        <c:minorTickMark val="none"/>
        <c:tickLblPos val="nextTo"/>
        <c:crossAx val="1479598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World Elevator Market Value per Region</a:t>
            </a:r>
          </a:p>
        </c:rich>
      </c:tx>
      <c:overlay val="0"/>
    </c:title>
    <c:autoTitleDeleted val="0"/>
    <c:plotArea>
      <c:layout>
        <c:manualLayout>
          <c:layoutTarget val="inner"/>
          <c:xMode val="edge"/>
          <c:yMode val="edge"/>
          <c:x val="8.1404480535484894E-2"/>
          <c:y val="0.13776435045317201"/>
          <c:w val="0.65448131380611996"/>
          <c:h val="0.72825796322287495"/>
        </c:manualLayout>
      </c:layout>
      <c:lineChart>
        <c:grouping val="standard"/>
        <c:varyColors val="0"/>
        <c:ser>
          <c:idx val="0"/>
          <c:order val="0"/>
          <c:tx>
            <c:v>Asia/Pacific</c:v>
          </c:tx>
          <c:marker>
            <c:symbol val="none"/>
          </c:marker>
          <c:cat>
            <c:numRef>
              <c:f>Sheet1!$A$4:$A$8</c:f>
              <c:numCache>
                <c:formatCode>General</c:formatCode>
                <c:ptCount val="5"/>
                <c:pt idx="0">
                  <c:v>1994</c:v>
                </c:pt>
                <c:pt idx="1">
                  <c:v>1999</c:v>
                </c:pt>
                <c:pt idx="2">
                  <c:v>2004</c:v>
                </c:pt>
                <c:pt idx="3">
                  <c:v>2009</c:v>
                </c:pt>
                <c:pt idx="4">
                  <c:v>2014</c:v>
                </c:pt>
              </c:numCache>
            </c:numRef>
          </c:cat>
          <c:val>
            <c:numRef>
              <c:f>Sheet1!$H$4:$H$8</c:f>
              <c:numCache>
                <c:formatCode>General</c:formatCode>
                <c:ptCount val="5"/>
                <c:pt idx="0">
                  <c:v>6.5</c:v>
                </c:pt>
                <c:pt idx="1">
                  <c:v>8</c:v>
                </c:pt>
                <c:pt idx="2">
                  <c:v>12.4</c:v>
                </c:pt>
                <c:pt idx="3">
                  <c:v>18.399999999999999</c:v>
                </c:pt>
                <c:pt idx="4">
                  <c:v>27</c:v>
                </c:pt>
              </c:numCache>
            </c:numRef>
          </c:val>
          <c:smooth val="0"/>
        </c:ser>
        <c:ser>
          <c:idx val="1"/>
          <c:order val="1"/>
          <c:tx>
            <c:v>Western Europe</c:v>
          </c:tx>
          <c:marker>
            <c:symbol val="none"/>
          </c:marker>
          <c:cat>
            <c:numRef>
              <c:f>Sheet1!$A$4:$A$8</c:f>
              <c:numCache>
                <c:formatCode>General</c:formatCode>
                <c:ptCount val="5"/>
                <c:pt idx="0">
                  <c:v>1994</c:v>
                </c:pt>
                <c:pt idx="1">
                  <c:v>1999</c:v>
                </c:pt>
                <c:pt idx="2">
                  <c:v>2004</c:v>
                </c:pt>
                <c:pt idx="3">
                  <c:v>2009</c:v>
                </c:pt>
                <c:pt idx="4">
                  <c:v>2014</c:v>
                </c:pt>
              </c:numCache>
            </c:numRef>
          </c:cat>
          <c:val>
            <c:numRef>
              <c:f>Sheet1!$G$4:$G$8</c:f>
              <c:numCache>
                <c:formatCode>General</c:formatCode>
                <c:ptCount val="5"/>
                <c:pt idx="0">
                  <c:v>11.7</c:v>
                </c:pt>
                <c:pt idx="1">
                  <c:v>13.8</c:v>
                </c:pt>
                <c:pt idx="2">
                  <c:v>16.100000000000001</c:v>
                </c:pt>
                <c:pt idx="3">
                  <c:v>19.3</c:v>
                </c:pt>
                <c:pt idx="4">
                  <c:v>23</c:v>
                </c:pt>
              </c:numCache>
            </c:numRef>
          </c:val>
          <c:smooth val="0"/>
        </c:ser>
        <c:ser>
          <c:idx val="2"/>
          <c:order val="2"/>
          <c:tx>
            <c:v>North America</c:v>
          </c:tx>
          <c:marker>
            <c:symbol val="none"/>
          </c:marker>
          <c:cat>
            <c:numRef>
              <c:f>Sheet1!$A$4:$A$8</c:f>
              <c:numCache>
                <c:formatCode>General</c:formatCode>
                <c:ptCount val="5"/>
                <c:pt idx="0">
                  <c:v>1994</c:v>
                </c:pt>
                <c:pt idx="1">
                  <c:v>1999</c:v>
                </c:pt>
                <c:pt idx="2">
                  <c:v>2004</c:v>
                </c:pt>
                <c:pt idx="3">
                  <c:v>2009</c:v>
                </c:pt>
                <c:pt idx="4">
                  <c:v>2014</c:v>
                </c:pt>
              </c:numCache>
            </c:numRef>
          </c:cat>
          <c:val>
            <c:numRef>
              <c:f>Sheet1!$D$4:$D$8</c:f>
              <c:numCache>
                <c:formatCode>General</c:formatCode>
                <c:ptCount val="5"/>
                <c:pt idx="0">
                  <c:v>4</c:v>
                </c:pt>
                <c:pt idx="1">
                  <c:v>5</c:v>
                </c:pt>
                <c:pt idx="2">
                  <c:v>5.8</c:v>
                </c:pt>
                <c:pt idx="3">
                  <c:v>7.4</c:v>
                </c:pt>
                <c:pt idx="4">
                  <c:v>8.9</c:v>
                </c:pt>
              </c:numCache>
            </c:numRef>
          </c:val>
          <c:smooth val="0"/>
        </c:ser>
        <c:ser>
          <c:idx val="3"/>
          <c:order val="3"/>
          <c:tx>
            <c:v>Eastern Europe</c:v>
          </c:tx>
          <c:marker>
            <c:symbol val="none"/>
          </c:marker>
          <c:cat>
            <c:numRef>
              <c:f>Sheet1!$A$4:$A$8</c:f>
              <c:numCache>
                <c:formatCode>General</c:formatCode>
                <c:ptCount val="5"/>
                <c:pt idx="0">
                  <c:v>1994</c:v>
                </c:pt>
                <c:pt idx="1">
                  <c:v>1999</c:v>
                </c:pt>
                <c:pt idx="2">
                  <c:v>2004</c:v>
                </c:pt>
                <c:pt idx="3">
                  <c:v>2009</c:v>
                </c:pt>
                <c:pt idx="4">
                  <c:v>2014</c:v>
                </c:pt>
              </c:numCache>
            </c:numRef>
          </c:cat>
          <c:val>
            <c:numRef>
              <c:f>Sheet1!$M$4:$M$8</c:f>
              <c:numCache>
                <c:formatCode>General</c:formatCode>
                <c:ptCount val="5"/>
                <c:pt idx="0">
                  <c:v>1.2</c:v>
                </c:pt>
                <c:pt idx="1">
                  <c:v>1.4</c:v>
                </c:pt>
                <c:pt idx="2">
                  <c:v>1.8</c:v>
                </c:pt>
                <c:pt idx="3">
                  <c:v>2.2999999999999998</c:v>
                </c:pt>
                <c:pt idx="4">
                  <c:v>3</c:v>
                </c:pt>
              </c:numCache>
            </c:numRef>
          </c:val>
          <c:smooth val="0"/>
        </c:ser>
        <c:ser>
          <c:idx val="4"/>
          <c:order val="4"/>
          <c:tx>
            <c:v>South America</c:v>
          </c:tx>
          <c:marker>
            <c:symbol val="none"/>
          </c:marker>
          <c:cat>
            <c:numRef>
              <c:f>Sheet1!$A$4:$A$8</c:f>
              <c:numCache>
                <c:formatCode>General</c:formatCode>
                <c:ptCount val="5"/>
                <c:pt idx="0">
                  <c:v>1994</c:v>
                </c:pt>
                <c:pt idx="1">
                  <c:v>1999</c:v>
                </c:pt>
                <c:pt idx="2">
                  <c:v>2004</c:v>
                </c:pt>
                <c:pt idx="3">
                  <c:v>2009</c:v>
                </c:pt>
                <c:pt idx="4">
                  <c:v>2014</c:v>
                </c:pt>
              </c:numCache>
            </c:numRef>
          </c:cat>
          <c:val>
            <c:numRef>
              <c:f>Sheet1!$L$4:$L$8</c:f>
              <c:numCache>
                <c:formatCode>General</c:formatCode>
                <c:ptCount val="5"/>
                <c:pt idx="0">
                  <c:v>1</c:v>
                </c:pt>
                <c:pt idx="1">
                  <c:v>1.1000000000000001</c:v>
                </c:pt>
                <c:pt idx="2">
                  <c:v>1.4</c:v>
                </c:pt>
                <c:pt idx="3">
                  <c:v>1.9</c:v>
                </c:pt>
                <c:pt idx="4">
                  <c:v>2.5</c:v>
                </c:pt>
              </c:numCache>
            </c:numRef>
          </c:val>
          <c:smooth val="0"/>
        </c:ser>
        <c:ser>
          <c:idx val="5"/>
          <c:order val="5"/>
          <c:tx>
            <c:v>Africa/Middle East</c:v>
          </c:tx>
          <c:marker>
            <c:symbol val="none"/>
          </c:marker>
          <c:cat>
            <c:numRef>
              <c:f>Sheet1!$A$4:$A$8</c:f>
              <c:numCache>
                <c:formatCode>General</c:formatCode>
                <c:ptCount val="5"/>
                <c:pt idx="0">
                  <c:v>1994</c:v>
                </c:pt>
                <c:pt idx="1">
                  <c:v>1999</c:v>
                </c:pt>
                <c:pt idx="2">
                  <c:v>2004</c:v>
                </c:pt>
                <c:pt idx="3">
                  <c:v>2009</c:v>
                </c:pt>
                <c:pt idx="4">
                  <c:v>2014</c:v>
                </c:pt>
              </c:numCache>
            </c:numRef>
          </c:cat>
          <c:val>
            <c:numRef>
              <c:f>Sheet1!$N$4:$N$8</c:f>
              <c:numCache>
                <c:formatCode>General</c:formatCode>
                <c:ptCount val="5"/>
                <c:pt idx="0">
                  <c:v>0.5</c:v>
                </c:pt>
                <c:pt idx="1">
                  <c:v>0.7</c:v>
                </c:pt>
                <c:pt idx="2">
                  <c:v>1</c:v>
                </c:pt>
                <c:pt idx="3">
                  <c:v>1.3</c:v>
                </c:pt>
                <c:pt idx="4">
                  <c:v>1.9</c:v>
                </c:pt>
              </c:numCache>
            </c:numRef>
          </c:val>
          <c:smooth val="0"/>
        </c:ser>
        <c:dLbls>
          <c:showLegendKey val="0"/>
          <c:showVal val="0"/>
          <c:showCatName val="0"/>
          <c:showSerName val="0"/>
          <c:showPercent val="0"/>
          <c:showBubbleSize val="0"/>
        </c:dLbls>
        <c:marker val="1"/>
        <c:smooth val="0"/>
        <c:axId val="147990784"/>
        <c:axId val="147997056"/>
      </c:lineChart>
      <c:catAx>
        <c:axId val="147990784"/>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147997056"/>
        <c:crosses val="autoZero"/>
        <c:auto val="1"/>
        <c:lblAlgn val="ctr"/>
        <c:lblOffset val="100"/>
        <c:noMultiLvlLbl val="0"/>
      </c:catAx>
      <c:valAx>
        <c:axId val="147997056"/>
        <c:scaling>
          <c:orientation val="minMax"/>
        </c:scaling>
        <c:delete val="0"/>
        <c:axPos val="l"/>
        <c:title>
          <c:tx>
            <c:rich>
              <a:bodyPr/>
              <a:lstStyle/>
              <a:p>
                <a:pPr>
                  <a:defRPr/>
                </a:pPr>
                <a:r>
                  <a:rPr lang="en-US"/>
                  <a:t>Market Value(Billons $)</a:t>
                </a:r>
              </a:p>
            </c:rich>
          </c:tx>
          <c:overlay val="0"/>
        </c:title>
        <c:numFmt formatCode="General" sourceLinked="1"/>
        <c:majorTickMark val="none"/>
        <c:minorTickMark val="none"/>
        <c:tickLblPos val="nextTo"/>
        <c:crossAx val="14799078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C8C023-6ACB-C84B-9DC7-F417214EC7CD}"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3930E982-C942-C14D-9A96-9C51E276BEC7}">
      <dgm:prSet phldrT="[Text]"/>
      <dgm:spPr>
        <a:xfrm>
          <a:off x="2066670" y="41970"/>
          <a:ext cx="1137159" cy="56857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World Elevator Market</a:t>
          </a:r>
        </a:p>
      </dgm:t>
    </dgm:pt>
    <dgm:pt modelId="{459170E8-6E46-934E-B9B0-427F6B034550}" type="parTrans" cxnId="{A8EA2F92-26D7-254D-AC8F-19A2B6699155}">
      <dgm:prSet/>
      <dgm:spPr/>
      <dgm:t>
        <a:bodyPr/>
        <a:lstStyle/>
        <a:p>
          <a:endParaRPr lang="en-US"/>
        </a:p>
      </dgm:t>
    </dgm:pt>
    <dgm:pt modelId="{E8A1B7BC-0DC9-0A4A-84F9-7978F079DE08}" type="sibTrans" cxnId="{A8EA2F92-26D7-254D-AC8F-19A2B6699155}">
      <dgm:prSet/>
      <dgm:spPr/>
      <dgm:t>
        <a:bodyPr/>
        <a:lstStyle/>
        <a:p>
          <a:endParaRPr lang="en-US"/>
        </a:p>
      </dgm:t>
    </dgm:pt>
    <dgm:pt modelId="{5CE9C312-2F52-5649-9606-875A009907BB}" type="asst">
      <dgm:prSet phldrT="[Text]"/>
      <dgm:spPr>
        <a:xfrm>
          <a:off x="690707" y="849353"/>
          <a:ext cx="1137159" cy="56857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Equipment</a:t>
          </a:r>
        </a:p>
      </dgm:t>
    </dgm:pt>
    <dgm:pt modelId="{D5869074-6E52-3E4C-B6E4-A47504A0BCBA}" type="parTrans" cxnId="{73827F35-712C-224D-A9E5-FFE65A112E3E}">
      <dgm:prSet/>
      <dgm:spPr>
        <a:xfrm>
          <a:off x="1827866" y="610550"/>
          <a:ext cx="807383" cy="523093"/>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C9AE335F-4589-AF44-9702-937797582550}" type="sibTrans" cxnId="{73827F35-712C-224D-A9E5-FFE65A112E3E}">
      <dgm:prSet/>
      <dgm:spPr/>
      <dgm:t>
        <a:bodyPr/>
        <a:lstStyle/>
        <a:p>
          <a:endParaRPr lang="en-US"/>
        </a:p>
      </dgm:t>
    </dgm:pt>
    <dgm:pt modelId="{5EDA7A91-CCF0-734D-BD85-9D059ADE2468}" type="asst">
      <dgm:prSet phldrT="[Text]"/>
      <dgm:spPr>
        <a:xfrm>
          <a:off x="3442633" y="849353"/>
          <a:ext cx="1137159" cy="56857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Servicies</a:t>
          </a:r>
        </a:p>
      </dgm:t>
    </dgm:pt>
    <dgm:pt modelId="{40822F1F-97D6-D349-97C9-27A1FFE07015}" type="parTrans" cxnId="{245F0046-DC0B-4542-9F83-7021141045BD}">
      <dgm:prSet/>
      <dgm:spPr>
        <a:xfrm>
          <a:off x="2635250" y="610550"/>
          <a:ext cx="807383" cy="523093"/>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2C2DB00E-9EBC-B949-871D-C82079EB2E08}" type="sibTrans" cxnId="{245F0046-DC0B-4542-9F83-7021141045BD}">
      <dgm:prSet/>
      <dgm:spPr/>
      <dgm:t>
        <a:bodyPr/>
        <a:lstStyle/>
        <a:p>
          <a:endParaRPr lang="en-US"/>
        </a:p>
      </dgm:t>
    </dgm:pt>
    <dgm:pt modelId="{3E6D7BE0-DC57-B54B-8615-CA139ECA6A04}" type="asst">
      <dgm:prSet phldrT="[Text]"/>
      <dgm:spPr>
        <a:xfrm>
          <a:off x="2754651" y="1656736"/>
          <a:ext cx="1137159" cy="56857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Installation</a:t>
          </a:r>
        </a:p>
      </dgm:t>
    </dgm:pt>
    <dgm:pt modelId="{AEBCA164-A591-7646-B938-AAD4074005E2}" type="parTrans" cxnId="{8AC8F7FD-5EFE-214D-A91C-0205E167150A}">
      <dgm:prSet/>
      <dgm:spPr>
        <a:xfrm>
          <a:off x="3891810" y="1417933"/>
          <a:ext cx="119401" cy="52309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C0F50F67-E21E-1645-9806-933030D2FBEC}" type="sibTrans" cxnId="{8AC8F7FD-5EFE-214D-A91C-0205E167150A}">
      <dgm:prSet/>
      <dgm:spPr/>
      <dgm:t>
        <a:bodyPr/>
        <a:lstStyle/>
        <a:p>
          <a:endParaRPr lang="en-US"/>
        </a:p>
      </dgm:t>
    </dgm:pt>
    <dgm:pt modelId="{D9832D2D-1727-774F-8BE5-358C60EDF30E}" type="asst">
      <dgm:prSet phldrT="[Text]"/>
      <dgm:spPr>
        <a:xfrm>
          <a:off x="4130614" y="1656736"/>
          <a:ext cx="1137159" cy="56857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Modernisation &amp; Repair</a:t>
          </a:r>
        </a:p>
      </dgm:t>
    </dgm:pt>
    <dgm:pt modelId="{598CA7D2-FFA3-F440-9BF9-3A568E339C78}" type="parTrans" cxnId="{AE375838-108E-4647-B6BB-536AF3691B51}">
      <dgm:prSet/>
      <dgm:spPr>
        <a:xfrm>
          <a:off x="4011212" y="1417933"/>
          <a:ext cx="119401" cy="52309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739EF6C-5170-6547-B2D8-48FB19C3596A}" type="sibTrans" cxnId="{AE375838-108E-4647-B6BB-536AF3691B51}">
      <dgm:prSet/>
      <dgm:spPr/>
      <dgm:t>
        <a:bodyPr/>
        <a:lstStyle/>
        <a:p>
          <a:endParaRPr lang="en-US"/>
        </a:p>
      </dgm:t>
    </dgm:pt>
    <dgm:pt modelId="{09009C14-9E65-AF45-BA8B-F09230BF6A0E}" type="asst">
      <dgm:prSet phldrT="[Text]"/>
      <dgm:spPr>
        <a:xfrm>
          <a:off x="2726" y="1656736"/>
          <a:ext cx="1137159" cy="56857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Parts &amp; Other </a:t>
          </a:r>
        </a:p>
      </dgm:t>
    </dgm:pt>
    <dgm:pt modelId="{CE5424B8-9B92-6D4F-B249-1CAC5579CCA6}" type="parTrans" cxnId="{CF401A99-C9FC-EC43-A8A5-7028C85858FD}">
      <dgm:prSet/>
      <dgm:spPr>
        <a:xfrm>
          <a:off x="1139885" y="1417933"/>
          <a:ext cx="119401" cy="52309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765ABD94-448A-364E-B0A8-FD35181A992B}" type="sibTrans" cxnId="{CF401A99-C9FC-EC43-A8A5-7028C85858FD}">
      <dgm:prSet/>
      <dgm:spPr/>
      <dgm:t>
        <a:bodyPr/>
        <a:lstStyle/>
        <a:p>
          <a:endParaRPr lang="en-US"/>
        </a:p>
      </dgm:t>
    </dgm:pt>
    <dgm:pt modelId="{F0F5DE60-74F7-D743-AF9A-12B2C8303D70}" type="asst">
      <dgm:prSet phldrT="[Text]"/>
      <dgm:spPr>
        <a:xfrm>
          <a:off x="1378689" y="1656736"/>
          <a:ext cx="1137159" cy="56857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Passenger &amp; Freight</a:t>
          </a:r>
        </a:p>
      </dgm:t>
    </dgm:pt>
    <dgm:pt modelId="{421AA927-8BF1-9645-811C-2B1CD8807BB3}" type="parTrans" cxnId="{3D90CAC7-FC7E-544F-A3A5-DEB7A39BDDEB}">
      <dgm:prSet/>
      <dgm:spPr>
        <a:xfrm>
          <a:off x="1259287" y="1417933"/>
          <a:ext cx="119401" cy="52309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C45CAC85-53B7-BE4F-8C52-F11E35F32F90}" type="sibTrans" cxnId="{3D90CAC7-FC7E-544F-A3A5-DEB7A39BDDEB}">
      <dgm:prSet/>
      <dgm:spPr/>
      <dgm:t>
        <a:bodyPr/>
        <a:lstStyle/>
        <a:p>
          <a:endParaRPr lang="en-US"/>
        </a:p>
      </dgm:t>
    </dgm:pt>
    <dgm:pt modelId="{BD779000-8A7A-044E-8FB3-215A475952C4}" type="asst">
      <dgm:prSet phldrT="[Text]"/>
      <dgm:spPr>
        <a:xfrm>
          <a:off x="2726" y="2464119"/>
          <a:ext cx="1137159" cy="56857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Escalatiors &amp; Moving Walkways </a:t>
          </a:r>
        </a:p>
      </dgm:t>
    </dgm:pt>
    <dgm:pt modelId="{C978C497-0CB0-364C-8E97-485688EEB594}" type="parTrans" cxnId="{43E8FBDA-5A62-AE43-B764-3D7607406A9E}">
      <dgm:prSet/>
      <dgm:spPr>
        <a:xfrm>
          <a:off x="1139885" y="1417933"/>
          <a:ext cx="119401" cy="1330476"/>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718AE53-C78E-4642-A58C-901F749817D3}" type="sibTrans" cxnId="{43E8FBDA-5A62-AE43-B764-3D7607406A9E}">
      <dgm:prSet/>
      <dgm:spPr/>
      <dgm:t>
        <a:bodyPr/>
        <a:lstStyle/>
        <a:p>
          <a:endParaRPr lang="en-US"/>
        </a:p>
      </dgm:t>
    </dgm:pt>
    <dgm:pt modelId="{62DAE383-89DA-B44E-98BA-519E06413447}" type="pres">
      <dgm:prSet presAssocID="{D7C8C023-6ACB-C84B-9DC7-F417214EC7CD}" presName="hierChild1" presStyleCnt="0">
        <dgm:presLayoutVars>
          <dgm:orgChart val="1"/>
          <dgm:chPref val="1"/>
          <dgm:dir/>
          <dgm:animOne val="branch"/>
          <dgm:animLvl val="lvl"/>
          <dgm:resizeHandles/>
        </dgm:presLayoutVars>
      </dgm:prSet>
      <dgm:spPr/>
      <dgm:t>
        <a:bodyPr/>
        <a:lstStyle/>
        <a:p>
          <a:endParaRPr lang="en-GB"/>
        </a:p>
      </dgm:t>
    </dgm:pt>
    <dgm:pt modelId="{5DEBA4B3-178A-DD49-BC35-E60E07839A13}" type="pres">
      <dgm:prSet presAssocID="{3930E982-C942-C14D-9A96-9C51E276BEC7}" presName="hierRoot1" presStyleCnt="0">
        <dgm:presLayoutVars>
          <dgm:hierBranch val="init"/>
        </dgm:presLayoutVars>
      </dgm:prSet>
      <dgm:spPr/>
    </dgm:pt>
    <dgm:pt modelId="{5324A347-3B8B-5841-8F37-3BE0D0C67617}" type="pres">
      <dgm:prSet presAssocID="{3930E982-C942-C14D-9A96-9C51E276BEC7}" presName="rootComposite1" presStyleCnt="0"/>
      <dgm:spPr/>
    </dgm:pt>
    <dgm:pt modelId="{1962D502-A4F5-FC43-BC2D-E0E692FEA9B1}" type="pres">
      <dgm:prSet presAssocID="{3930E982-C942-C14D-9A96-9C51E276BEC7}" presName="rootText1" presStyleLbl="node0" presStyleIdx="0" presStyleCnt="1">
        <dgm:presLayoutVars>
          <dgm:chPref val="3"/>
        </dgm:presLayoutVars>
      </dgm:prSet>
      <dgm:spPr>
        <a:prstGeom prst="rect">
          <a:avLst/>
        </a:prstGeom>
      </dgm:spPr>
      <dgm:t>
        <a:bodyPr/>
        <a:lstStyle/>
        <a:p>
          <a:endParaRPr lang="en-GB"/>
        </a:p>
      </dgm:t>
    </dgm:pt>
    <dgm:pt modelId="{C28E1380-CD3A-C64D-A5AB-247AF08A7650}" type="pres">
      <dgm:prSet presAssocID="{3930E982-C942-C14D-9A96-9C51E276BEC7}" presName="rootConnector1" presStyleLbl="node1" presStyleIdx="0" presStyleCnt="0"/>
      <dgm:spPr/>
      <dgm:t>
        <a:bodyPr/>
        <a:lstStyle/>
        <a:p>
          <a:endParaRPr lang="en-GB"/>
        </a:p>
      </dgm:t>
    </dgm:pt>
    <dgm:pt modelId="{C5E95AC8-5EB8-6B40-A5B8-5881AEB10BD0}" type="pres">
      <dgm:prSet presAssocID="{3930E982-C942-C14D-9A96-9C51E276BEC7}" presName="hierChild2" presStyleCnt="0"/>
      <dgm:spPr/>
    </dgm:pt>
    <dgm:pt modelId="{B5E50906-6968-F945-8912-436E4DDE4D76}" type="pres">
      <dgm:prSet presAssocID="{3930E982-C942-C14D-9A96-9C51E276BEC7}" presName="hierChild3" presStyleCnt="0"/>
      <dgm:spPr/>
    </dgm:pt>
    <dgm:pt modelId="{00663FBB-F38A-9F4B-96F2-1C5A2C73FBB0}" type="pres">
      <dgm:prSet presAssocID="{D5869074-6E52-3E4C-B6E4-A47504A0BCBA}" presName="Name111" presStyleLbl="parChTrans1D2" presStyleIdx="0" presStyleCnt="2"/>
      <dgm:spPr>
        <a:custGeom>
          <a:avLst/>
          <a:gdLst/>
          <a:ahLst/>
          <a:cxnLst/>
          <a:rect l="0" t="0" r="0" b="0"/>
          <a:pathLst>
            <a:path>
              <a:moveTo>
                <a:pt x="807383" y="0"/>
              </a:moveTo>
              <a:lnTo>
                <a:pt x="807383" y="523093"/>
              </a:lnTo>
              <a:lnTo>
                <a:pt x="0" y="523093"/>
              </a:lnTo>
            </a:path>
          </a:pathLst>
        </a:custGeom>
      </dgm:spPr>
      <dgm:t>
        <a:bodyPr/>
        <a:lstStyle/>
        <a:p>
          <a:endParaRPr lang="en-GB"/>
        </a:p>
      </dgm:t>
    </dgm:pt>
    <dgm:pt modelId="{A8DAD826-3057-4E4B-8139-BC5B82C14D73}" type="pres">
      <dgm:prSet presAssocID="{5CE9C312-2F52-5649-9606-875A009907BB}" presName="hierRoot3" presStyleCnt="0">
        <dgm:presLayoutVars>
          <dgm:hierBranch val="init"/>
        </dgm:presLayoutVars>
      </dgm:prSet>
      <dgm:spPr/>
    </dgm:pt>
    <dgm:pt modelId="{D799341C-9745-914D-9657-D0D57A8E68B7}" type="pres">
      <dgm:prSet presAssocID="{5CE9C312-2F52-5649-9606-875A009907BB}" presName="rootComposite3" presStyleCnt="0"/>
      <dgm:spPr/>
    </dgm:pt>
    <dgm:pt modelId="{7B9991AA-500D-B643-A699-4B7CE11FCF84}" type="pres">
      <dgm:prSet presAssocID="{5CE9C312-2F52-5649-9606-875A009907BB}" presName="rootText3" presStyleLbl="asst1" presStyleIdx="0" presStyleCnt="7">
        <dgm:presLayoutVars>
          <dgm:chPref val="3"/>
        </dgm:presLayoutVars>
      </dgm:prSet>
      <dgm:spPr>
        <a:prstGeom prst="rect">
          <a:avLst/>
        </a:prstGeom>
      </dgm:spPr>
      <dgm:t>
        <a:bodyPr/>
        <a:lstStyle/>
        <a:p>
          <a:endParaRPr lang="en-GB"/>
        </a:p>
      </dgm:t>
    </dgm:pt>
    <dgm:pt modelId="{23DA68A3-1DBC-C14C-8217-744D866AA616}" type="pres">
      <dgm:prSet presAssocID="{5CE9C312-2F52-5649-9606-875A009907BB}" presName="rootConnector3" presStyleLbl="asst1" presStyleIdx="0" presStyleCnt="7"/>
      <dgm:spPr/>
      <dgm:t>
        <a:bodyPr/>
        <a:lstStyle/>
        <a:p>
          <a:endParaRPr lang="en-GB"/>
        </a:p>
      </dgm:t>
    </dgm:pt>
    <dgm:pt modelId="{420C8E08-0C87-1A4A-B12A-FF311A2A56F1}" type="pres">
      <dgm:prSet presAssocID="{5CE9C312-2F52-5649-9606-875A009907BB}" presName="hierChild6" presStyleCnt="0"/>
      <dgm:spPr/>
    </dgm:pt>
    <dgm:pt modelId="{1F372E24-891F-B942-A44A-4674806CD7E1}" type="pres">
      <dgm:prSet presAssocID="{5CE9C312-2F52-5649-9606-875A009907BB}" presName="hierChild7" presStyleCnt="0"/>
      <dgm:spPr/>
    </dgm:pt>
    <dgm:pt modelId="{FC832993-BE1E-464B-9BB5-EB65DE93337F}" type="pres">
      <dgm:prSet presAssocID="{CE5424B8-9B92-6D4F-B249-1CAC5579CCA6}" presName="Name111" presStyleLbl="parChTrans1D3" presStyleIdx="0" presStyleCnt="5"/>
      <dgm:spPr>
        <a:custGeom>
          <a:avLst/>
          <a:gdLst/>
          <a:ahLst/>
          <a:cxnLst/>
          <a:rect l="0" t="0" r="0" b="0"/>
          <a:pathLst>
            <a:path>
              <a:moveTo>
                <a:pt x="119401" y="0"/>
              </a:moveTo>
              <a:lnTo>
                <a:pt x="119401" y="523093"/>
              </a:lnTo>
              <a:lnTo>
                <a:pt x="0" y="523093"/>
              </a:lnTo>
            </a:path>
          </a:pathLst>
        </a:custGeom>
      </dgm:spPr>
      <dgm:t>
        <a:bodyPr/>
        <a:lstStyle/>
        <a:p>
          <a:endParaRPr lang="en-GB"/>
        </a:p>
      </dgm:t>
    </dgm:pt>
    <dgm:pt modelId="{99C0C43B-D0A8-2E43-AA88-28CA2F77A41E}" type="pres">
      <dgm:prSet presAssocID="{09009C14-9E65-AF45-BA8B-F09230BF6A0E}" presName="hierRoot3" presStyleCnt="0">
        <dgm:presLayoutVars>
          <dgm:hierBranch val="init"/>
        </dgm:presLayoutVars>
      </dgm:prSet>
      <dgm:spPr/>
    </dgm:pt>
    <dgm:pt modelId="{9D7087DC-23B6-5448-818F-179B16B7CE6D}" type="pres">
      <dgm:prSet presAssocID="{09009C14-9E65-AF45-BA8B-F09230BF6A0E}" presName="rootComposite3" presStyleCnt="0"/>
      <dgm:spPr/>
    </dgm:pt>
    <dgm:pt modelId="{53AA0DF3-2685-5545-9AC1-26BE84D0C5DC}" type="pres">
      <dgm:prSet presAssocID="{09009C14-9E65-AF45-BA8B-F09230BF6A0E}" presName="rootText3" presStyleLbl="asst1" presStyleIdx="1" presStyleCnt="7">
        <dgm:presLayoutVars>
          <dgm:chPref val="3"/>
        </dgm:presLayoutVars>
      </dgm:prSet>
      <dgm:spPr>
        <a:prstGeom prst="rect">
          <a:avLst/>
        </a:prstGeom>
      </dgm:spPr>
      <dgm:t>
        <a:bodyPr/>
        <a:lstStyle/>
        <a:p>
          <a:endParaRPr lang="en-US"/>
        </a:p>
      </dgm:t>
    </dgm:pt>
    <dgm:pt modelId="{83C0FBFA-48DA-E546-B175-9120CFB2ABBB}" type="pres">
      <dgm:prSet presAssocID="{09009C14-9E65-AF45-BA8B-F09230BF6A0E}" presName="rootConnector3" presStyleLbl="asst1" presStyleIdx="1" presStyleCnt="7"/>
      <dgm:spPr/>
      <dgm:t>
        <a:bodyPr/>
        <a:lstStyle/>
        <a:p>
          <a:endParaRPr lang="en-GB"/>
        </a:p>
      </dgm:t>
    </dgm:pt>
    <dgm:pt modelId="{CC932431-28B1-FF4E-830F-01886ED159A8}" type="pres">
      <dgm:prSet presAssocID="{09009C14-9E65-AF45-BA8B-F09230BF6A0E}" presName="hierChild6" presStyleCnt="0"/>
      <dgm:spPr/>
    </dgm:pt>
    <dgm:pt modelId="{ADD1AEBC-DF91-6C40-A478-41AF9128FE98}" type="pres">
      <dgm:prSet presAssocID="{09009C14-9E65-AF45-BA8B-F09230BF6A0E}" presName="hierChild7" presStyleCnt="0"/>
      <dgm:spPr/>
    </dgm:pt>
    <dgm:pt modelId="{D1806D06-FD52-1B47-AECF-33834092B23F}" type="pres">
      <dgm:prSet presAssocID="{421AA927-8BF1-9645-811C-2B1CD8807BB3}" presName="Name111" presStyleLbl="parChTrans1D3" presStyleIdx="1" presStyleCnt="5"/>
      <dgm:spPr>
        <a:custGeom>
          <a:avLst/>
          <a:gdLst/>
          <a:ahLst/>
          <a:cxnLst/>
          <a:rect l="0" t="0" r="0" b="0"/>
          <a:pathLst>
            <a:path>
              <a:moveTo>
                <a:pt x="0" y="0"/>
              </a:moveTo>
              <a:lnTo>
                <a:pt x="0" y="523093"/>
              </a:lnTo>
              <a:lnTo>
                <a:pt x="119401" y="523093"/>
              </a:lnTo>
            </a:path>
          </a:pathLst>
        </a:custGeom>
      </dgm:spPr>
      <dgm:t>
        <a:bodyPr/>
        <a:lstStyle/>
        <a:p>
          <a:endParaRPr lang="en-GB"/>
        </a:p>
      </dgm:t>
    </dgm:pt>
    <dgm:pt modelId="{9FDAE5F7-67F9-8146-83EC-14CA56B36E37}" type="pres">
      <dgm:prSet presAssocID="{F0F5DE60-74F7-D743-AF9A-12B2C8303D70}" presName="hierRoot3" presStyleCnt="0">
        <dgm:presLayoutVars>
          <dgm:hierBranch val="init"/>
        </dgm:presLayoutVars>
      </dgm:prSet>
      <dgm:spPr/>
    </dgm:pt>
    <dgm:pt modelId="{A7CB15A0-504A-3644-9D9B-00EB04CF3EB0}" type="pres">
      <dgm:prSet presAssocID="{F0F5DE60-74F7-D743-AF9A-12B2C8303D70}" presName="rootComposite3" presStyleCnt="0"/>
      <dgm:spPr/>
    </dgm:pt>
    <dgm:pt modelId="{9A2D7C0E-EFD6-7949-98AE-F297FF9C7060}" type="pres">
      <dgm:prSet presAssocID="{F0F5DE60-74F7-D743-AF9A-12B2C8303D70}" presName="rootText3" presStyleLbl="asst1" presStyleIdx="2" presStyleCnt="7">
        <dgm:presLayoutVars>
          <dgm:chPref val="3"/>
        </dgm:presLayoutVars>
      </dgm:prSet>
      <dgm:spPr>
        <a:prstGeom prst="rect">
          <a:avLst/>
        </a:prstGeom>
      </dgm:spPr>
      <dgm:t>
        <a:bodyPr/>
        <a:lstStyle/>
        <a:p>
          <a:endParaRPr lang="en-GB"/>
        </a:p>
      </dgm:t>
    </dgm:pt>
    <dgm:pt modelId="{056989D3-6A5B-8446-9765-A47780309B46}" type="pres">
      <dgm:prSet presAssocID="{F0F5DE60-74F7-D743-AF9A-12B2C8303D70}" presName="rootConnector3" presStyleLbl="asst1" presStyleIdx="2" presStyleCnt="7"/>
      <dgm:spPr/>
      <dgm:t>
        <a:bodyPr/>
        <a:lstStyle/>
        <a:p>
          <a:endParaRPr lang="en-GB"/>
        </a:p>
      </dgm:t>
    </dgm:pt>
    <dgm:pt modelId="{1DD90069-71F1-7445-AAED-9E9FC519242A}" type="pres">
      <dgm:prSet presAssocID="{F0F5DE60-74F7-D743-AF9A-12B2C8303D70}" presName="hierChild6" presStyleCnt="0"/>
      <dgm:spPr/>
    </dgm:pt>
    <dgm:pt modelId="{3B99CFC4-6A19-D542-9EA1-505E352F2FE1}" type="pres">
      <dgm:prSet presAssocID="{F0F5DE60-74F7-D743-AF9A-12B2C8303D70}" presName="hierChild7" presStyleCnt="0"/>
      <dgm:spPr/>
    </dgm:pt>
    <dgm:pt modelId="{AA45A629-E185-ED47-A3F4-1E16CF4F0DB1}" type="pres">
      <dgm:prSet presAssocID="{C978C497-0CB0-364C-8E97-485688EEB594}" presName="Name111" presStyleLbl="parChTrans1D3" presStyleIdx="2" presStyleCnt="5"/>
      <dgm:spPr>
        <a:custGeom>
          <a:avLst/>
          <a:gdLst/>
          <a:ahLst/>
          <a:cxnLst/>
          <a:rect l="0" t="0" r="0" b="0"/>
          <a:pathLst>
            <a:path>
              <a:moveTo>
                <a:pt x="119401" y="0"/>
              </a:moveTo>
              <a:lnTo>
                <a:pt x="119401" y="1330476"/>
              </a:lnTo>
              <a:lnTo>
                <a:pt x="0" y="1330476"/>
              </a:lnTo>
            </a:path>
          </a:pathLst>
        </a:custGeom>
      </dgm:spPr>
      <dgm:t>
        <a:bodyPr/>
        <a:lstStyle/>
        <a:p>
          <a:endParaRPr lang="en-GB"/>
        </a:p>
      </dgm:t>
    </dgm:pt>
    <dgm:pt modelId="{06754212-B123-C84F-A7D7-AF997F95FD1B}" type="pres">
      <dgm:prSet presAssocID="{BD779000-8A7A-044E-8FB3-215A475952C4}" presName="hierRoot3" presStyleCnt="0">
        <dgm:presLayoutVars>
          <dgm:hierBranch val="init"/>
        </dgm:presLayoutVars>
      </dgm:prSet>
      <dgm:spPr/>
    </dgm:pt>
    <dgm:pt modelId="{88D343DF-1B1A-3F45-A479-C4CF1ECC372B}" type="pres">
      <dgm:prSet presAssocID="{BD779000-8A7A-044E-8FB3-215A475952C4}" presName="rootComposite3" presStyleCnt="0"/>
      <dgm:spPr/>
    </dgm:pt>
    <dgm:pt modelId="{6329BF35-912A-0441-A9BF-160819289B61}" type="pres">
      <dgm:prSet presAssocID="{BD779000-8A7A-044E-8FB3-215A475952C4}" presName="rootText3" presStyleLbl="asst1" presStyleIdx="3" presStyleCnt="7">
        <dgm:presLayoutVars>
          <dgm:chPref val="3"/>
        </dgm:presLayoutVars>
      </dgm:prSet>
      <dgm:spPr>
        <a:prstGeom prst="rect">
          <a:avLst/>
        </a:prstGeom>
      </dgm:spPr>
      <dgm:t>
        <a:bodyPr/>
        <a:lstStyle/>
        <a:p>
          <a:endParaRPr lang="en-GB"/>
        </a:p>
      </dgm:t>
    </dgm:pt>
    <dgm:pt modelId="{A0DD0314-0F0A-2E46-AE1C-16E2E697FE1A}" type="pres">
      <dgm:prSet presAssocID="{BD779000-8A7A-044E-8FB3-215A475952C4}" presName="rootConnector3" presStyleLbl="asst1" presStyleIdx="3" presStyleCnt="7"/>
      <dgm:spPr/>
      <dgm:t>
        <a:bodyPr/>
        <a:lstStyle/>
        <a:p>
          <a:endParaRPr lang="en-GB"/>
        </a:p>
      </dgm:t>
    </dgm:pt>
    <dgm:pt modelId="{50630A23-A721-2541-92EC-0FE40E22FC28}" type="pres">
      <dgm:prSet presAssocID="{BD779000-8A7A-044E-8FB3-215A475952C4}" presName="hierChild6" presStyleCnt="0"/>
      <dgm:spPr/>
    </dgm:pt>
    <dgm:pt modelId="{189E9A33-F955-624F-BFD5-03C425A36CA5}" type="pres">
      <dgm:prSet presAssocID="{BD779000-8A7A-044E-8FB3-215A475952C4}" presName="hierChild7" presStyleCnt="0"/>
      <dgm:spPr/>
    </dgm:pt>
    <dgm:pt modelId="{16E296A1-5B9B-014A-9496-CCE54C4DB84E}" type="pres">
      <dgm:prSet presAssocID="{40822F1F-97D6-D349-97C9-27A1FFE07015}" presName="Name111" presStyleLbl="parChTrans1D2" presStyleIdx="1" presStyleCnt="2"/>
      <dgm:spPr>
        <a:custGeom>
          <a:avLst/>
          <a:gdLst/>
          <a:ahLst/>
          <a:cxnLst/>
          <a:rect l="0" t="0" r="0" b="0"/>
          <a:pathLst>
            <a:path>
              <a:moveTo>
                <a:pt x="0" y="0"/>
              </a:moveTo>
              <a:lnTo>
                <a:pt x="0" y="523093"/>
              </a:lnTo>
              <a:lnTo>
                <a:pt x="807383" y="523093"/>
              </a:lnTo>
            </a:path>
          </a:pathLst>
        </a:custGeom>
      </dgm:spPr>
      <dgm:t>
        <a:bodyPr/>
        <a:lstStyle/>
        <a:p>
          <a:endParaRPr lang="en-GB"/>
        </a:p>
      </dgm:t>
    </dgm:pt>
    <dgm:pt modelId="{A9B940E0-16EA-F047-955B-AC96B7E8DEC5}" type="pres">
      <dgm:prSet presAssocID="{5EDA7A91-CCF0-734D-BD85-9D059ADE2468}" presName="hierRoot3" presStyleCnt="0">
        <dgm:presLayoutVars>
          <dgm:hierBranch val="init"/>
        </dgm:presLayoutVars>
      </dgm:prSet>
      <dgm:spPr/>
    </dgm:pt>
    <dgm:pt modelId="{5F256D4F-F888-404E-9285-6557F250DC65}" type="pres">
      <dgm:prSet presAssocID="{5EDA7A91-CCF0-734D-BD85-9D059ADE2468}" presName="rootComposite3" presStyleCnt="0"/>
      <dgm:spPr/>
    </dgm:pt>
    <dgm:pt modelId="{F03E16A2-0FC0-8E42-9812-F98B6399878C}" type="pres">
      <dgm:prSet presAssocID="{5EDA7A91-CCF0-734D-BD85-9D059ADE2468}" presName="rootText3" presStyleLbl="asst1" presStyleIdx="4" presStyleCnt="7">
        <dgm:presLayoutVars>
          <dgm:chPref val="3"/>
        </dgm:presLayoutVars>
      </dgm:prSet>
      <dgm:spPr>
        <a:prstGeom prst="rect">
          <a:avLst/>
        </a:prstGeom>
      </dgm:spPr>
      <dgm:t>
        <a:bodyPr/>
        <a:lstStyle/>
        <a:p>
          <a:endParaRPr lang="en-US"/>
        </a:p>
      </dgm:t>
    </dgm:pt>
    <dgm:pt modelId="{685565E9-C86F-3E4C-92FF-EA9AB31EA861}" type="pres">
      <dgm:prSet presAssocID="{5EDA7A91-CCF0-734D-BD85-9D059ADE2468}" presName="rootConnector3" presStyleLbl="asst1" presStyleIdx="4" presStyleCnt="7"/>
      <dgm:spPr/>
      <dgm:t>
        <a:bodyPr/>
        <a:lstStyle/>
        <a:p>
          <a:endParaRPr lang="en-GB"/>
        </a:p>
      </dgm:t>
    </dgm:pt>
    <dgm:pt modelId="{71206F4F-0D2B-B14C-8B02-54F47354A0B6}" type="pres">
      <dgm:prSet presAssocID="{5EDA7A91-CCF0-734D-BD85-9D059ADE2468}" presName="hierChild6" presStyleCnt="0"/>
      <dgm:spPr/>
    </dgm:pt>
    <dgm:pt modelId="{1F4F3B62-C226-E946-AD3D-23339848E172}" type="pres">
      <dgm:prSet presAssocID="{5EDA7A91-CCF0-734D-BD85-9D059ADE2468}" presName="hierChild7" presStyleCnt="0"/>
      <dgm:spPr/>
    </dgm:pt>
    <dgm:pt modelId="{8F1819B9-B8F3-6E4B-A074-9151614020B6}" type="pres">
      <dgm:prSet presAssocID="{AEBCA164-A591-7646-B938-AAD4074005E2}" presName="Name111" presStyleLbl="parChTrans1D3" presStyleIdx="3" presStyleCnt="5"/>
      <dgm:spPr>
        <a:custGeom>
          <a:avLst/>
          <a:gdLst/>
          <a:ahLst/>
          <a:cxnLst/>
          <a:rect l="0" t="0" r="0" b="0"/>
          <a:pathLst>
            <a:path>
              <a:moveTo>
                <a:pt x="119401" y="0"/>
              </a:moveTo>
              <a:lnTo>
                <a:pt x="119401" y="523093"/>
              </a:lnTo>
              <a:lnTo>
                <a:pt x="0" y="523093"/>
              </a:lnTo>
            </a:path>
          </a:pathLst>
        </a:custGeom>
      </dgm:spPr>
      <dgm:t>
        <a:bodyPr/>
        <a:lstStyle/>
        <a:p>
          <a:endParaRPr lang="en-GB"/>
        </a:p>
      </dgm:t>
    </dgm:pt>
    <dgm:pt modelId="{3ED2A36E-A677-7848-A6D2-BD6D2C869E23}" type="pres">
      <dgm:prSet presAssocID="{3E6D7BE0-DC57-B54B-8615-CA139ECA6A04}" presName="hierRoot3" presStyleCnt="0">
        <dgm:presLayoutVars>
          <dgm:hierBranch val="init"/>
        </dgm:presLayoutVars>
      </dgm:prSet>
      <dgm:spPr/>
    </dgm:pt>
    <dgm:pt modelId="{5EEEFF6D-2D72-7D42-85BD-7E45FAFA3005}" type="pres">
      <dgm:prSet presAssocID="{3E6D7BE0-DC57-B54B-8615-CA139ECA6A04}" presName="rootComposite3" presStyleCnt="0"/>
      <dgm:spPr/>
    </dgm:pt>
    <dgm:pt modelId="{DA33260E-5C3B-D64E-A6CF-36BEC5CABF67}" type="pres">
      <dgm:prSet presAssocID="{3E6D7BE0-DC57-B54B-8615-CA139ECA6A04}" presName="rootText3" presStyleLbl="asst1" presStyleIdx="5" presStyleCnt="7">
        <dgm:presLayoutVars>
          <dgm:chPref val="3"/>
        </dgm:presLayoutVars>
      </dgm:prSet>
      <dgm:spPr>
        <a:prstGeom prst="rect">
          <a:avLst/>
        </a:prstGeom>
      </dgm:spPr>
      <dgm:t>
        <a:bodyPr/>
        <a:lstStyle/>
        <a:p>
          <a:endParaRPr lang="en-US"/>
        </a:p>
      </dgm:t>
    </dgm:pt>
    <dgm:pt modelId="{4F878E00-8A53-2146-B5E1-8D4ADFFF11E7}" type="pres">
      <dgm:prSet presAssocID="{3E6D7BE0-DC57-B54B-8615-CA139ECA6A04}" presName="rootConnector3" presStyleLbl="asst1" presStyleIdx="5" presStyleCnt="7"/>
      <dgm:spPr/>
      <dgm:t>
        <a:bodyPr/>
        <a:lstStyle/>
        <a:p>
          <a:endParaRPr lang="en-GB"/>
        </a:p>
      </dgm:t>
    </dgm:pt>
    <dgm:pt modelId="{86364710-ADDF-F547-A244-802CFC04A26B}" type="pres">
      <dgm:prSet presAssocID="{3E6D7BE0-DC57-B54B-8615-CA139ECA6A04}" presName="hierChild6" presStyleCnt="0"/>
      <dgm:spPr/>
    </dgm:pt>
    <dgm:pt modelId="{6E665A55-3DCE-0D4F-9836-3925DDDFB95E}" type="pres">
      <dgm:prSet presAssocID="{3E6D7BE0-DC57-B54B-8615-CA139ECA6A04}" presName="hierChild7" presStyleCnt="0"/>
      <dgm:spPr/>
    </dgm:pt>
    <dgm:pt modelId="{EA6475F8-BDEA-9245-B5D6-391D483727AC}" type="pres">
      <dgm:prSet presAssocID="{598CA7D2-FFA3-F440-9BF9-3A568E339C78}" presName="Name111" presStyleLbl="parChTrans1D3" presStyleIdx="4" presStyleCnt="5"/>
      <dgm:spPr>
        <a:custGeom>
          <a:avLst/>
          <a:gdLst/>
          <a:ahLst/>
          <a:cxnLst/>
          <a:rect l="0" t="0" r="0" b="0"/>
          <a:pathLst>
            <a:path>
              <a:moveTo>
                <a:pt x="0" y="0"/>
              </a:moveTo>
              <a:lnTo>
                <a:pt x="0" y="523093"/>
              </a:lnTo>
              <a:lnTo>
                <a:pt x="119401" y="523093"/>
              </a:lnTo>
            </a:path>
          </a:pathLst>
        </a:custGeom>
      </dgm:spPr>
      <dgm:t>
        <a:bodyPr/>
        <a:lstStyle/>
        <a:p>
          <a:endParaRPr lang="en-GB"/>
        </a:p>
      </dgm:t>
    </dgm:pt>
    <dgm:pt modelId="{91508370-9EF7-BF42-8A37-755932E6494C}" type="pres">
      <dgm:prSet presAssocID="{D9832D2D-1727-774F-8BE5-358C60EDF30E}" presName="hierRoot3" presStyleCnt="0">
        <dgm:presLayoutVars>
          <dgm:hierBranch val="init"/>
        </dgm:presLayoutVars>
      </dgm:prSet>
      <dgm:spPr/>
    </dgm:pt>
    <dgm:pt modelId="{A57EB41C-CA57-B84E-B5F5-903E0A70206C}" type="pres">
      <dgm:prSet presAssocID="{D9832D2D-1727-774F-8BE5-358C60EDF30E}" presName="rootComposite3" presStyleCnt="0"/>
      <dgm:spPr/>
    </dgm:pt>
    <dgm:pt modelId="{0CBFECCD-7339-EB41-8AD7-DD2AC9915B7F}" type="pres">
      <dgm:prSet presAssocID="{D9832D2D-1727-774F-8BE5-358C60EDF30E}" presName="rootText3" presStyleLbl="asst1" presStyleIdx="6" presStyleCnt="7">
        <dgm:presLayoutVars>
          <dgm:chPref val="3"/>
        </dgm:presLayoutVars>
      </dgm:prSet>
      <dgm:spPr>
        <a:prstGeom prst="rect">
          <a:avLst/>
        </a:prstGeom>
      </dgm:spPr>
      <dgm:t>
        <a:bodyPr/>
        <a:lstStyle/>
        <a:p>
          <a:endParaRPr lang="en-US"/>
        </a:p>
      </dgm:t>
    </dgm:pt>
    <dgm:pt modelId="{9ACA394B-9D15-0D46-BA1C-DF69EA2C55EF}" type="pres">
      <dgm:prSet presAssocID="{D9832D2D-1727-774F-8BE5-358C60EDF30E}" presName="rootConnector3" presStyleLbl="asst1" presStyleIdx="6" presStyleCnt="7"/>
      <dgm:spPr/>
      <dgm:t>
        <a:bodyPr/>
        <a:lstStyle/>
        <a:p>
          <a:endParaRPr lang="en-GB"/>
        </a:p>
      </dgm:t>
    </dgm:pt>
    <dgm:pt modelId="{62B24B4E-3F27-184D-8720-0978B2BE529F}" type="pres">
      <dgm:prSet presAssocID="{D9832D2D-1727-774F-8BE5-358C60EDF30E}" presName="hierChild6" presStyleCnt="0"/>
      <dgm:spPr/>
    </dgm:pt>
    <dgm:pt modelId="{54DCB04B-257E-AA4C-9F5F-715CC6EE49D5}" type="pres">
      <dgm:prSet presAssocID="{D9832D2D-1727-774F-8BE5-358C60EDF30E}" presName="hierChild7" presStyleCnt="0"/>
      <dgm:spPr/>
    </dgm:pt>
  </dgm:ptLst>
  <dgm:cxnLst>
    <dgm:cxn modelId="{84E129F5-A1DD-4350-9070-D7E23D0C6380}" type="presOf" srcId="{D9832D2D-1727-774F-8BE5-358C60EDF30E}" destId="{9ACA394B-9D15-0D46-BA1C-DF69EA2C55EF}" srcOrd="1" destOrd="0" presId="urn:microsoft.com/office/officeart/2005/8/layout/orgChart1"/>
    <dgm:cxn modelId="{DF123D49-020E-4914-811B-CA4E0485D707}" type="presOf" srcId="{CE5424B8-9B92-6D4F-B249-1CAC5579CCA6}" destId="{FC832993-BE1E-464B-9BB5-EB65DE93337F}" srcOrd="0" destOrd="0" presId="urn:microsoft.com/office/officeart/2005/8/layout/orgChart1"/>
    <dgm:cxn modelId="{58A8835A-D9B1-4852-940C-17838BB89D4E}" type="presOf" srcId="{3930E982-C942-C14D-9A96-9C51E276BEC7}" destId="{1962D502-A4F5-FC43-BC2D-E0E692FEA9B1}" srcOrd="0" destOrd="0" presId="urn:microsoft.com/office/officeart/2005/8/layout/orgChart1"/>
    <dgm:cxn modelId="{524C65C1-D5B9-4220-A2E9-3404E447F908}" type="presOf" srcId="{C978C497-0CB0-364C-8E97-485688EEB594}" destId="{AA45A629-E185-ED47-A3F4-1E16CF4F0DB1}" srcOrd="0" destOrd="0" presId="urn:microsoft.com/office/officeart/2005/8/layout/orgChart1"/>
    <dgm:cxn modelId="{E6FE7B5F-3A4E-4444-A401-6407E85AB11A}" type="presOf" srcId="{BD779000-8A7A-044E-8FB3-215A475952C4}" destId="{A0DD0314-0F0A-2E46-AE1C-16E2E697FE1A}" srcOrd="1" destOrd="0" presId="urn:microsoft.com/office/officeart/2005/8/layout/orgChart1"/>
    <dgm:cxn modelId="{3D90CAC7-FC7E-544F-A3A5-DEB7A39BDDEB}" srcId="{5CE9C312-2F52-5649-9606-875A009907BB}" destId="{F0F5DE60-74F7-D743-AF9A-12B2C8303D70}" srcOrd="1" destOrd="0" parTransId="{421AA927-8BF1-9645-811C-2B1CD8807BB3}" sibTransId="{C45CAC85-53B7-BE4F-8C52-F11E35F32F90}"/>
    <dgm:cxn modelId="{B254FC20-D80F-45C8-A93D-5C151181F087}" type="presOf" srcId="{40822F1F-97D6-D349-97C9-27A1FFE07015}" destId="{16E296A1-5B9B-014A-9496-CCE54C4DB84E}" srcOrd="0" destOrd="0" presId="urn:microsoft.com/office/officeart/2005/8/layout/orgChart1"/>
    <dgm:cxn modelId="{8AC8F7FD-5EFE-214D-A91C-0205E167150A}" srcId="{5EDA7A91-CCF0-734D-BD85-9D059ADE2468}" destId="{3E6D7BE0-DC57-B54B-8615-CA139ECA6A04}" srcOrd="0" destOrd="0" parTransId="{AEBCA164-A591-7646-B938-AAD4074005E2}" sibTransId="{C0F50F67-E21E-1645-9806-933030D2FBEC}"/>
    <dgm:cxn modelId="{AE375838-108E-4647-B6BB-536AF3691B51}" srcId="{5EDA7A91-CCF0-734D-BD85-9D059ADE2468}" destId="{D9832D2D-1727-774F-8BE5-358C60EDF30E}" srcOrd="1" destOrd="0" parTransId="{598CA7D2-FFA3-F440-9BF9-3A568E339C78}" sibTransId="{A739EF6C-5170-6547-B2D8-48FB19C3596A}"/>
    <dgm:cxn modelId="{28FF3941-F872-4382-836A-D139928CAC6D}" type="presOf" srcId="{598CA7D2-FFA3-F440-9BF9-3A568E339C78}" destId="{EA6475F8-BDEA-9245-B5D6-391D483727AC}" srcOrd="0" destOrd="0" presId="urn:microsoft.com/office/officeart/2005/8/layout/orgChart1"/>
    <dgm:cxn modelId="{1ED05329-F589-4764-B780-F04C6023CFC8}" type="presOf" srcId="{09009C14-9E65-AF45-BA8B-F09230BF6A0E}" destId="{53AA0DF3-2685-5545-9AC1-26BE84D0C5DC}" srcOrd="0" destOrd="0" presId="urn:microsoft.com/office/officeart/2005/8/layout/orgChart1"/>
    <dgm:cxn modelId="{7C92A7CC-B645-4657-9C53-45D807277E5B}" type="presOf" srcId="{5CE9C312-2F52-5649-9606-875A009907BB}" destId="{23DA68A3-1DBC-C14C-8217-744D866AA616}" srcOrd="1" destOrd="0" presId="urn:microsoft.com/office/officeart/2005/8/layout/orgChart1"/>
    <dgm:cxn modelId="{87896A4D-54C0-4EF6-8165-8B9C59E1646F}" type="presOf" srcId="{5EDA7A91-CCF0-734D-BD85-9D059ADE2468}" destId="{F03E16A2-0FC0-8E42-9812-F98B6399878C}" srcOrd="0" destOrd="0" presId="urn:microsoft.com/office/officeart/2005/8/layout/orgChart1"/>
    <dgm:cxn modelId="{DCC17AF6-90B4-46E6-A90F-A13C6CE6F8D0}" type="presOf" srcId="{3930E982-C942-C14D-9A96-9C51E276BEC7}" destId="{C28E1380-CD3A-C64D-A5AB-247AF08A7650}" srcOrd="1" destOrd="0" presId="urn:microsoft.com/office/officeart/2005/8/layout/orgChart1"/>
    <dgm:cxn modelId="{007F6801-5575-4210-A037-153158702087}" type="presOf" srcId="{F0F5DE60-74F7-D743-AF9A-12B2C8303D70}" destId="{9A2D7C0E-EFD6-7949-98AE-F297FF9C7060}" srcOrd="0" destOrd="0" presId="urn:microsoft.com/office/officeart/2005/8/layout/orgChart1"/>
    <dgm:cxn modelId="{F1E4888A-C8EB-4144-9DFB-FB36D3EC9F5F}" type="presOf" srcId="{3E6D7BE0-DC57-B54B-8615-CA139ECA6A04}" destId="{DA33260E-5C3B-D64E-A6CF-36BEC5CABF67}" srcOrd="0" destOrd="0" presId="urn:microsoft.com/office/officeart/2005/8/layout/orgChart1"/>
    <dgm:cxn modelId="{A8EA2F92-26D7-254D-AC8F-19A2B6699155}" srcId="{D7C8C023-6ACB-C84B-9DC7-F417214EC7CD}" destId="{3930E982-C942-C14D-9A96-9C51E276BEC7}" srcOrd="0" destOrd="0" parTransId="{459170E8-6E46-934E-B9B0-427F6B034550}" sibTransId="{E8A1B7BC-0DC9-0A4A-84F9-7978F079DE08}"/>
    <dgm:cxn modelId="{245F0046-DC0B-4542-9F83-7021141045BD}" srcId="{3930E982-C942-C14D-9A96-9C51E276BEC7}" destId="{5EDA7A91-CCF0-734D-BD85-9D059ADE2468}" srcOrd="1" destOrd="0" parTransId="{40822F1F-97D6-D349-97C9-27A1FFE07015}" sibTransId="{2C2DB00E-9EBC-B949-871D-C82079EB2E08}"/>
    <dgm:cxn modelId="{41BE5C36-34FE-448D-9B11-55276DB31191}" type="presOf" srcId="{D9832D2D-1727-774F-8BE5-358C60EDF30E}" destId="{0CBFECCD-7339-EB41-8AD7-DD2AC9915B7F}" srcOrd="0" destOrd="0" presId="urn:microsoft.com/office/officeart/2005/8/layout/orgChart1"/>
    <dgm:cxn modelId="{E4F16E45-0517-49FA-8181-84A6E59202B9}" type="presOf" srcId="{5CE9C312-2F52-5649-9606-875A009907BB}" destId="{7B9991AA-500D-B643-A699-4B7CE11FCF84}" srcOrd="0" destOrd="0" presId="urn:microsoft.com/office/officeart/2005/8/layout/orgChart1"/>
    <dgm:cxn modelId="{E2820A48-1740-4749-A23B-9D086754EB7E}" type="presOf" srcId="{D5869074-6E52-3E4C-B6E4-A47504A0BCBA}" destId="{00663FBB-F38A-9F4B-96F2-1C5A2C73FBB0}" srcOrd="0" destOrd="0" presId="urn:microsoft.com/office/officeart/2005/8/layout/orgChart1"/>
    <dgm:cxn modelId="{6965179D-C74C-41AA-922A-F5CFFA192B06}" type="presOf" srcId="{421AA927-8BF1-9645-811C-2B1CD8807BB3}" destId="{D1806D06-FD52-1B47-AECF-33834092B23F}" srcOrd="0" destOrd="0" presId="urn:microsoft.com/office/officeart/2005/8/layout/orgChart1"/>
    <dgm:cxn modelId="{71273A41-0D04-4459-9A09-2C9050460746}" type="presOf" srcId="{5EDA7A91-CCF0-734D-BD85-9D059ADE2468}" destId="{685565E9-C86F-3E4C-92FF-EA9AB31EA861}" srcOrd="1" destOrd="0" presId="urn:microsoft.com/office/officeart/2005/8/layout/orgChart1"/>
    <dgm:cxn modelId="{DF27A311-205F-41E8-A027-319AB042EB2E}" type="presOf" srcId="{3E6D7BE0-DC57-B54B-8615-CA139ECA6A04}" destId="{4F878E00-8A53-2146-B5E1-8D4ADFFF11E7}" srcOrd="1" destOrd="0" presId="urn:microsoft.com/office/officeart/2005/8/layout/orgChart1"/>
    <dgm:cxn modelId="{73827F35-712C-224D-A9E5-FFE65A112E3E}" srcId="{3930E982-C942-C14D-9A96-9C51E276BEC7}" destId="{5CE9C312-2F52-5649-9606-875A009907BB}" srcOrd="0" destOrd="0" parTransId="{D5869074-6E52-3E4C-B6E4-A47504A0BCBA}" sibTransId="{C9AE335F-4589-AF44-9702-937797582550}"/>
    <dgm:cxn modelId="{BEBC0B00-7F97-42BD-91FF-D299667082E4}" type="presOf" srcId="{F0F5DE60-74F7-D743-AF9A-12B2C8303D70}" destId="{056989D3-6A5B-8446-9765-A47780309B46}" srcOrd="1" destOrd="0" presId="urn:microsoft.com/office/officeart/2005/8/layout/orgChart1"/>
    <dgm:cxn modelId="{923A9CFE-51D3-4487-A3C6-8C0F736F80B6}" type="presOf" srcId="{D7C8C023-6ACB-C84B-9DC7-F417214EC7CD}" destId="{62DAE383-89DA-B44E-98BA-519E06413447}" srcOrd="0" destOrd="0" presId="urn:microsoft.com/office/officeart/2005/8/layout/orgChart1"/>
    <dgm:cxn modelId="{72209D55-FED4-4727-AEC7-D1DC92AB711E}" type="presOf" srcId="{BD779000-8A7A-044E-8FB3-215A475952C4}" destId="{6329BF35-912A-0441-A9BF-160819289B61}" srcOrd="0" destOrd="0" presId="urn:microsoft.com/office/officeart/2005/8/layout/orgChart1"/>
    <dgm:cxn modelId="{43E8FBDA-5A62-AE43-B764-3D7607406A9E}" srcId="{5CE9C312-2F52-5649-9606-875A009907BB}" destId="{BD779000-8A7A-044E-8FB3-215A475952C4}" srcOrd="2" destOrd="0" parTransId="{C978C497-0CB0-364C-8E97-485688EEB594}" sibTransId="{8718AE53-C78E-4642-A58C-901F749817D3}"/>
    <dgm:cxn modelId="{CF401A99-C9FC-EC43-A8A5-7028C85858FD}" srcId="{5CE9C312-2F52-5649-9606-875A009907BB}" destId="{09009C14-9E65-AF45-BA8B-F09230BF6A0E}" srcOrd="0" destOrd="0" parTransId="{CE5424B8-9B92-6D4F-B249-1CAC5579CCA6}" sibTransId="{765ABD94-448A-364E-B0A8-FD35181A992B}"/>
    <dgm:cxn modelId="{3CF360A4-8A1E-47A6-9E58-653A1D3A1377}" type="presOf" srcId="{AEBCA164-A591-7646-B938-AAD4074005E2}" destId="{8F1819B9-B8F3-6E4B-A074-9151614020B6}" srcOrd="0" destOrd="0" presId="urn:microsoft.com/office/officeart/2005/8/layout/orgChart1"/>
    <dgm:cxn modelId="{7874D7C9-E894-4E3C-824E-250D8F89C4CA}" type="presOf" srcId="{09009C14-9E65-AF45-BA8B-F09230BF6A0E}" destId="{83C0FBFA-48DA-E546-B175-9120CFB2ABBB}" srcOrd="1" destOrd="0" presId="urn:microsoft.com/office/officeart/2005/8/layout/orgChart1"/>
    <dgm:cxn modelId="{A633E812-4F63-44F0-8484-63AC7CD583E6}" type="presParOf" srcId="{62DAE383-89DA-B44E-98BA-519E06413447}" destId="{5DEBA4B3-178A-DD49-BC35-E60E07839A13}" srcOrd="0" destOrd="0" presId="urn:microsoft.com/office/officeart/2005/8/layout/orgChart1"/>
    <dgm:cxn modelId="{6B4D2D9B-BE7E-4C4C-8AEB-4B7D7C9AF37E}" type="presParOf" srcId="{5DEBA4B3-178A-DD49-BC35-E60E07839A13}" destId="{5324A347-3B8B-5841-8F37-3BE0D0C67617}" srcOrd="0" destOrd="0" presId="urn:microsoft.com/office/officeart/2005/8/layout/orgChart1"/>
    <dgm:cxn modelId="{8BEDB3CE-F368-4119-8C43-67DC7AA8BDDC}" type="presParOf" srcId="{5324A347-3B8B-5841-8F37-3BE0D0C67617}" destId="{1962D502-A4F5-FC43-BC2D-E0E692FEA9B1}" srcOrd="0" destOrd="0" presId="urn:microsoft.com/office/officeart/2005/8/layout/orgChart1"/>
    <dgm:cxn modelId="{91B23CCB-B38C-4F60-A604-7B7F38FF3E73}" type="presParOf" srcId="{5324A347-3B8B-5841-8F37-3BE0D0C67617}" destId="{C28E1380-CD3A-C64D-A5AB-247AF08A7650}" srcOrd="1" destOrd="0" presId="urn:microsoft.com/office/officeart/2005/8/layout/orgChart1"/>
    <dgm:cxn modelId="{96E5FB80-2611-4031-86DB-0929E63C6F2F}" type="presParOf" srcId="{5DEBA4B3-178A-DD49-BC35-E60E07839A13}" destId="{C5E95AC8-5EB8-6B40-A5B8-5881AEB10BD0}" srcOrd="1" destOrd="0" presId="urn:microsoft.com/office/officeart/2005/8/layout/orgChart1"/>
    <dgm:cxn modelId="{97CDEBE9-6278-4F62-9F25-F7D5FA6E7E9A}" type="presParOf" srcId="{5DEBA4B3-178A-DD49-BC35-E60E07839A13}" destId="{B5E50906-6968-F945-8912-436E4DDE4D76}" srcOrd="2" destOrd="0" presId="urn:microsoft.com/office/officeart/2005/8/layout/orgChart1"/>
    <dgm:cxn modelId="{28B237CA-F253-4D3D-B6A9-5DBBDD7C6AB1}" type="presParOf" srcId="{B5E50906-6968-F945-8912-436E4DDE4D76}" destId="{00663FBB-F38A-9F4B-96F2-1C5A2C73FBB0}" srcOrd="0" destOrd="0" presId="urn:microsoft.com/office/officeart/2005/8/layout/orgChart1"/>
    <dgm:cxn modelId="{D7C86702-2AD5-4C63-BBA7-12C5D093E425}" type="presParOf" srcId="{B5E50906-6968-F945-8912-436E4DDE4D76}" destId="{A8DAD826-3057-4E4B-8139-BC5B82C14D73}" srcOrd="1" destOrd="0" presId="urn:microsoft.com/office/officeart/2005/8/layout/orgChart1"/>
    <dgm:cxn modelId="{36C9E111-AFB7-4831-8B23-E15E6822322F}" type="presParOf" srcId="{A8DAD826-3057-4E4B-8139-BC5B82C14D73}" destId="{D799341C-9745-914D-9657-D0D57A8E68B7}" srcOrd="0" destOrd="0" presId="urn:microsoft.com/office/officeart/2005/8/layout/orgChart1"/>
    <dgm:cxn modelId="{900B3A07-590D-48F7-9886-20121BEC3361}" type="presParOf" srcId="{D799341C-9745-914D-9657-D0D57A8E68B7}" destId="{7B9991AA-500D-B643-A699-4B7CE11FCF84}" srcOrd="0" destOrd="0" presId="urn:microsoft.com/office/officeart/2005/8/layout/orgChart1"/>
    <dgm:cxn modelId="{C38E6A1B-1EFA-4812-8DB5-FC13EB41BA68}" type="presParOf" srcId="{D799341C-9745-914D-9657-D0D57A8E68B7}" destId="{23DA68A3-1DBC-C14C-8217-744D866AA616}" srcOrd="1" destOrd="0" presId="urn:microsoft.com/office/officeart/2005/8/layout/orgChart1"/>
    <dgm:cxn modelId="{887A03D9-22AF-459A-BEF9-3F16B5034491}" type="presParOf" srcId="{A8DAD826-3057-4E4B-8139-BC5B82C14D73}" destId="{420C8E08-0C87-1A4A-B12A-FF311A2A56F1}" srcOrd="1" destOrd="0" presId="urn:microsoft.com/office/officeart/2005/8/layout/orgChart1"/>
    <dgm:cxn modelId="{EC7280EA-03A6-46A0-9D38-8807A9E38845}" type="presParOf" srcId="{A8DAD826-3057-4E4B-8139-BC5B82C14D73}" destId="{1F372E24-891F-B942-A44A-4674806CD7E1}" srcOrd="2" destOrd="0" presId="urn:microsoft.com/office/officeart/2005/8/layout/orgChart1"/>
    <dgm:cxn modelId="{CA95E221-9498-4C3F-8C45-1833E6EA17BB}" type="presParOf" srcId="{1F372E24-891F-B942-A44A-4674806CD7E1}" destId="{FC832993-BE1E-464B-9BB5-EB65DE93337F}" srcOrd="0" destOrd="0" presId="urn:microsoft.com/office/officeart/2005/8/layout/orgChart1"/>
    <dgm:cxn modelId="{4D050D7F-2F1E-4143-AA4A-21E4180DD178}" type="presParOf" srcId="{1F372E24-891F-B942-A44A-4674806CD7E1}" destId="{99C0C43B-D0A8-2E43-AA88-28CA2F77A41E}" srcOrd="1" destOrd="0" presId="urn:microsoft.com/office/officeart/2005/8/layout/orgChart1"/>
    <dgm:cxn modelId="{387E2634-5428-4976-8273-A3EF0DB77DBE}" type="presParOf" srcId="{99C0C43B-D0A8-2E43-AA88-28CA2F77A41E}" destId="{9D7087DC-23B6-5448-818F-179B16B7CE6D}" srcOrd="0" destOrd="0" presId="urn:microsoft.com/office/officeart/2005/8/layout/orgChart1"/>
    <dgm:cxn modelId="{DBC3E6B1-1D13-4AAF-B98D-1EB6FF944811}" type="presParOf" srcId="{9D7087DC-23B6-5448-818F-179B16B7CE6D}" destId="{53AA0DF3-2685-5545-9AC1-26BE84D0C5DC}" srcOrd="0" destOrd="0" presId="urn:microsoft.com/office/officeart/2005/8/layout/orgChart1"/>
    <dgm:cxn modelId="{CA025630-BADC-4F79-8B05-CE555D8A3F0C}" type="presParOf" srcId="{9D7087DC-23B6-5448-818F-179B16B7CE6D}" destId="{83C0FBFA-48DA-E546-B175-9120CFB2ABBB}" srcOrd="1" destOrd="0" presId="urn:microsoft.com/office/officeart/2005/8/layout/orgChart1"/>
    <dgm:cxn modelId="{150BE891-CA89-4E38-89BD-07AFB191F4C9}" type="presParOf" srcId="{99C0C43B-D0A8-2E43-AA88-28CA2F77A41E}" destId="{CC932431-28B1-FF4E-830F-01886ED159A8}" srcOrd="1" destOrd="0" presId="urn:microsoft.com/office/officeart/2005/8/layout/orgChart1"/>
    <dgm:cxn modelId="{3203D716-29F1-46B6-AF15-69E56AC295CF}" type="presParOf" srcId="{99C0C43B-D0A8-2E43-AA88-28CA2F77A41E}" destId="{ADD1AEBC-DF91-6C40-A478-41AF9128FE98}" srcOrd="2" destOrd="0" presId="urn:microsoft.com/office/officeart/2005/8/layout/orgChart1"/>
    <dgm:cxn modelId="{B4610EBC-2E04-4E8B-95A3-1D38357AFB39}" type="presParOf" srcId="{1F372E24-891F-B942-A44A-4674806CD7E1}" destId="{D1806D06-FD52-1B47-AECF-33834092B23F}" srcOrd="2" destOrd="0" presId="urn:microsoft.com/office/officeart/2005/8/layout/orgChart1"/>
    <dgm:cxn modelId="{A6662113-C9D4-40DF-8DC3-DC77EB750560}" type="presParOf" srcId="{1F372E24-891F-B942-A44A-4674806CD7E1}" destId="{9FDAE5F7-67F9-8146-83EC-14CA56B36E37}" srcOrd="3" destOrd="0" presId="urn:microsoft.com/office/officeart/2005/8/layout/orgChart1"/>
    <dgm:cxn modelId="{81DCE6D5-147E-4153-8165-0E0079095909}" type="presParOf" srcId="{9FDAE5F7-67F9-8146-83EC-14CA56B36E37}" destId="{A7CB15A0-504A-3644-9D9B-00EB04CF3EB0}" srcOrd="0" destOrd="0" presId="urn:microsoft.com/office/officeart/2005/8/layout/orgChart1"/>
    <dgm:cxn modelId="{BA441985-948D-456D-9F0E-C454E78C04E2}" type="presParOf" srcId="{A7CB15A0-504A-3644-9D9B-00EB04CF3EB0}" destId="{9A2D7C0E-EFD6-7949-98AE-F297FF9C7060}" srcOrd="0" destOrd="0" presId="urn:microsoft.com/office/officeart/2005/8/layout/orgChart1"/>
    <dgm:cxn modelId="{1280A355-7A2D-4D75-8AD2-79C9166B20C2}" type="presParOf" srcId="{A7CB15A0-504A-3644-9D9B-00EB04CF3EB0}" destId="{056989D3-6A5B-8446-9765-A47780309B46}" srcOrd="1" destOrd="0" presId="urn:microsoft.com/office/officeart/2005/8/layout/orgChart1"/>
    <dgm:cxn modelId="{017D9CF2-E6E0-47ED-B4CE-E4522F7D19AE}" type="presParOf" srcId="{9FDAE5F7-67F9-8146-83EC-14CA56B36E37}" destId="{1DD90069-71F1-7445-AAED-9E9FC519242A}" srcOrd="1" destOrd="0" presId="urn:microsoft.com/office/officeart/2005/8/layout/orgChart1"/>
    <dgm:cxn modelId="{BA9F9075-9350-4DA0-B66B-2BEB2DC19879}" type="presParOf" srcId="{9FDAE5F7-67F9-8146-83EC-14CA56B36E37}" destId="{3B99CFC4-6A19-D542-9EA1-505E352F2FE1}" srcOrd="2" destOrd="0" presId="urn:microsoft.com/office/officeart/2005/8/layout/orgChart1"/>
    <dgm:cxn modelId="{0EA2D0A5-AAFF-4F54-B80F-5E76D6DC7BE0}" type="presParOf" srcId="{1F372E24-891F-B942-A44A-4674806CD7E1}" destId="{AA45A629-E185-ED47-A3F4-1E16CF4F0DB1}" srcOrd="4" destOrd="0" presId="urn:microsoft.com/office/officeart/2005/8/layout/orgChart1"/>
    <dgm:cxn modelId="{1B0B4576-17C8-4065-B587-535771AA7DF6}" type="presParOf" srcId="{1F372E24-891F-B942-A44A-4674806CD7E1}" destId="{06754212-B123-C84F-A7D7-AF997F95FD1B}" srcOrd="5" destOrd="0" presId="urn:microsoft.com/office/officeart/2005/8/layout/orgChart1"/>
    <dgm:cxn modelId="{2EA1B0F1-9723-4BD9-BB9B-BF11FE4F350E}" type="presParOf" srcId="{06754212-B123-C84F-A7D7-AF997F95FD1B}" destId="{88D343DF-1B1A-3F45-A479-C4CF1ECC372B}" srcOrd="0" destOrd="0" presId="urn:microsoft.com/office/officeart/2005/8/layout/orgChart1"/>
    <dgm:cxn modelId="{31684BDC-3F8F-4492-AC1C-FD5604A5420E}" type="presParOf" srcId="{88D343DF-1B1A-3F45-A479-C4CF1ECC372B}" destId="{6329BF35-912A-0441-A9BF-160819289B61}" srcOrd="0" destOrd="0" presId="urn:microsoft.com/office/officeart/2005/8/layout/orgChart1"/>
    <dgm:cxn modelId="{5CF0D569-596E-457D-89D6-5311BDFB16BD}" type="presParOf" srcId="{88D343DF-1B1A-3F45-A479-C4CF1ECC372B}" destId="{A0DD0314-0F0A-2E46-AE1C-16E2E697FE1A}" srcOrd="1" destOrd="0" presId="urn:microsoft.com/office/officeart/2005/8/layout/orgChart1"/>
    <dgm:cxn modelId="{CDE26784-58BD-4378-9F38-9C76E8CA291E}" type="presParOf" srcId="{06754212-B123-C84F-A7D7-AF997F95FD1B}" destId="{50630A23-A721-2541-92EC-0FE40E22FC28}" srcOrd="1" destOrd="0" presId="urn:microsoft.com/office/officeart/2005/8/layout/orgChart1"/>
    <dgm:cxn modelId="{07398964-7DF9-43BE-AD3D-783901391711}" type="presParOf" srcId="{06754212-B123-C84F-A7D7-AF997F95FD1B}" destId="{189E9A33-F955-624F-BFD5-03C425A36CA5}" srcOrd="2" destOrd="0" presId="urn:microsoft.com/office/officeart/2005/8/layout/orgChart1"/>
    <dgm:cxn modelId="{8CE8E735-8161-4DCA-A9C7-8F6C0FD706B7}" type="presParOf" srcId="{B5E50906-6968-F945-8912-436E4DDE4D76}" destId="{16E296A1-5B9B-014A-9496-CCE54C4DB84E}" srcOrd="2" destOrd="0" presId="urn:microsoft.com/office/officeart/2005/8/layout/orgChart1"/>
    <dgm:cxn modelId="{C616EF23-385F-4922-BD9B-C851C0CC1760}" type="presParOf" srcId="{B5E50906-6968-F945-8912-436E4DDE4D76}" destId="{A9B940E0-16EA-F047-955B-AC96B7E8DEC5}" srcOrd="3" destOrd="0" presId="urn:microsoft.com/office/officeart/2005/8/layout/orgChart1"/>
    <dgm:cxn modelId="{B06C1F61-2A9C-4D2F-A131-37A7F775E825}" type="presParOf" srcId="{A9B940E0-16EA-F047-955B-AC96B7E8DEC5}" destId="{5F256D4F-F888-404E-9285-6557F250DC65}" srcOrd="0" destOrd="0" presId="urn:microsoft.com/office/officeart/2005/8/layout/orgChart1"/>
    <dgm:cxn modelId="{180B65E4-1EC0-4D45-BAFF-B14A77B21EB4}" type="presParOf" srcId="{5F256D4F-F888-404E-9285-6557F250DC65}" destId="{F03E16A2-0FC0-8E42-9812-F98B6399878C}" srcOrd="0" destOrd="0" presId="urn:microsoft.com/office/officeart/2005/8/layout/orgChart1"/>
    <dgm:cxn modelId="{3C38239A-FD86-4473-A4DF-1AD59CBB9C9A}" type="presParOf" srcId="{5F256D4F-F888-404E-9285-6557F250DC65}" destId="{685565E9-C86F-3E4C-92FF-EA9AB31EA861}" srcOrd="1" destOrd="0" presId="urn:microsoft.com/office/officeart/2005/8/layout/orgChart1"/>
    <dgm:cxn modelId="{59C725FD-9DF6-4D0E-B24D-3EBA0AA83289}" type="presParOf" srcId="{A9B940E0-16EA-F047-955B-AC96B7E8DEC5}" destId="{71206F4F-0D2B-B14C-8B02-54F47354A0B6}" srcOrd="1" destOrd="0" presId="urn:microsoft.com/office/officeart/2005/8/layout/orgChart1"/>
    <dgm:cxn modelId="{5618A58E-AF06-4853-98D7-3A8B50626175}" type="presParOf" srcId="{A9B940E0-16EA-F047-955B-AC96B7E8DEC5}" destId="{1F4F3B62-C226-E946-AD3D-23339848E172}" srcOrd="2" destOrd="0" presId="urn:microsoft.com/office/officeart/2005/8/layout/orgChart1"/>
    <dgm:cxn modelId="{130B76D0-7304-4628-A0D4-CF43473CCD87}" type="presParOf" srcId="{1F4F3B62-C226-E946-AD3D-23339848E172}" destId="{8F1819B9-B8F3-6E4B-A074-9151614020B6}" srcOrd="0" destOrd="0" presId="urn:microsoft.com/office/officeart/2005/8/layout/orgChart1"/>
    <dgm:cxn modelId="{59EE7A79-2104-4565-891D-C598948AF623}" type="presParOf" srcId="{1F4F3B62-C226-E946-AD3D-23339848E172}" destId="{3ED2A36E-A677-7848-A6D2-BD6D2C869E23}" srcOrd="1" destOrd="0" presId="urn:microsoft.com/office/officeart/2005/8/layout/orgChart1"/>
    <dgm:cxn modelId="{BA5CA742-EC7A-4A2D-848F-8987224492A1}" type="presParOf" srcId="{3ED2A36E-A677-7848-A6D2-BD6D2C869E23}" destId="{5EEEFF6D-2D72-7D42-85BD-7E45FAFA3005}" srcOrd="0" destOrd="0" presId="urn:microsoft.com/office/officeart/2005/8/layout/orgChart1"/>
    <dgm:cxn modelId="{C4CDE1E6-B508-4BF1-962F-A2B053F566C1}" type="presParOf" srcId="{5EEEFF6D-2D72-7D42-85BD-7E45FAFA3005}" destId="{DA33260E-5C3B-D64E-A6CF-36BEC5CABF67}" srcOrd="0" destOrd="0" presId="urn:microsoft.com/office/officeart/2005/8/layout/orgChart1"/>
    <dgm:cxn modelId="{82074909-CF31-4ABD-9A94-99CFCFEE3A99}" type="presParOf" srcId="{5EEEFF6D-2D72-7D42-85BD-7E45FAFA3005}" destId="{4F878E00-8A53-2146-B5E1-8D4ADFFF11E7}" srcOrd="1" destOrd="0" presId="urn:microsoft.com/office/officeart/2005/8/layout/orgChart1"/>
    <dgm:cxn modelId="{B56C98A6-0354-4981-8C02-E40E83D7D602}" type="presParOf" srcId="{3ED2A36E-A677-7848-A6D2-BD6D2C869E23}" destId="{86364710-ADDF-F547-A244-802CFC04A26B}" srcOrd="1" destOrd="0" presId="urn:microsoft.com/office/officeart/2005/8/layout/orgChart1"/>
    <dgm:cxn modelId="{D7ACD331-DA6E-49CA-9112-80BB6A56A412}" type="presParOf" srcId="{3ED2A36E-A677-7848-A6D2-BD6D2C869E23}" destId="{6E665A55-3DCE-0D4F-9836-3925DDDFB95E}" srcOrd="2" destOrd="0" presId="urn:microsoft.com/office/officeart/2005/8/layout/orgChart1"/>
    <dgm:cxn modelId="{185F335D-C0F1-476A-80F8-23D65193307F}" type="presParOf" srcId="{1F4F3B62-C226-E946-AD3D-23339848E172}" destId="{EA6475F8-BDEA-9245-B5D6-391D483727AC}" srcOrd="2" destOrd="0" presId="urn:microsoft.com/office/officeart/2005/8/layout/orgChart1"/>
    <dgm:cxn modelId="{2FE3E695-6804-4C4C-AACF-A5B3EAE862A9}" type="presParOf" srcId="{1F4F3B62-C226-E946-AD3D-23339848E172}" destId="{91508370-9EF7-BF42-8A37-755932E6494C}" srcOrd="3" destOrd="0" presId="urn:microsoft.com/office/officeart/2005/8/layout/orgChart1"/>
    <dgm:cxn modelId="{66422942-D90D-4387-A6EE-075C389A6F88}" type="presParOf" srcId="{91508370-9EF7-BF42-8A37-755932E6494C}" destId="{A57EB41C-CA57-B84E-B5F5-903E0A70206C}" srcOrd="0" destOrd="0" presId="urn:microsoft.com/office/officeart/2005/8/layout/orgChart1"/>
    <dgm:cxn modelId="{DB8866DA-F55C-4563-9728-CEAAA13925A9}" type="presParOf" srcId="{A57EB41C-CA57-B84E-B5F5-903E0A70206C}" destId="{0CBFECCD-7339-EB41-8AD7-DD2AC9915B7F}" srcOrd="0" destOrd="0" presId="urn:microsoft.com/office/officeart/2005/8/layout/orgChart1"/>
    <dgm:cxn modelId="{3BF8DAA5-E72F-4203-A3B4-7B2B9317BE01}" type="presParOf" srcId="{A57EB41C-CA57-B84E-B5F5-903E0A70206C}" destId="{9ACA394B-9D15-0D46-BA1C-DF69EA2C55EF}" srcOrd="1" destOrd="0" presId="urn:microsoft.com/office/officeart/2005/8/layout/orgChart1"/>
    <dgm:cxn modelId="{ADF9432C-A695-410D-93EB-CCC656A3E751}" type="presParOf" srcId="{91508370-9EF7-BF42-8A37-755932E6494C}" destId="{62B24B4E-3F27-184D-8720-0978B2BE529F}" srcOrd="1" destOrd="0" presId="urn:microsoft.com/office/officeart/2005/8/layout/orgChart1"/>
    <dgm:cxn modelId="{C4BDA20D-0AD5-4F4F-B5DE-06EEACE6657F}" type="presParOf" srcId="{91508370-9EF7-BF42-8A37-755932E6494C}" destId="{54DCB04B-257E-AA4C-9F5F-715CC6EE49D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6475F8-BDEA-9245-B5D6-391D483727AC}">
      <dsp:nvSpPr>
        <dsp:cNvPr id="0" name=""/>
        <dsp:cNvSpPr/>
      </dsp:nvSpPr>
      <dsp:spPr>
        <a:xfrm>
          <a:off x="4011212" y="1417933"/>
          <a:ext cx="119401" cy="523093"/>
        </a:xfrm>
        <a:custGeom>
          <a:avLst/>
          <a:gdLst/>
          <a:ahLst/>
          <a:cxnLst/>
          <a:rect l="0" t="0" r="0" b="0"/>
          <a:pathLst>
            <a:path>
              <a:moveTo>
                <a:pt x="0" y="0"/>
              </a:moveTo>
              <a:lnTo>
                <a:pt x="0" y="523093"/>
              </a:lnTo>
              <a:lnTo>
                <a:pt x="119401" y="523093"/>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F1819B9-B8F3-6E4B-A074-9151614020B6}">
      <dsp:nvSpPr>
        <dsp:cNvPr id="0" name=""/>
        <dsp:cNvSpPr/>
      </dsp:nvSpPr>
      <dsp:spPr>
        <a:xfrm>
          <a:off x="3891810" y="1417933"/>
          <a:ext cx="119401" cy="523093"/>
        </a:xfrm>
        <a:custGeom>
          <a:avLst/>
          <a:gdLst/>
          <a:ahLst/>
          <a:cxnLst/>
          <a:rect l="0" t="0" r="0" b="0"/>
          <a:pathLst>
            <a:path>
              <a:moveTo>
                <a:pt x="119401" y="0"/>
              </a:moveTo>
              <a:lnTo>
                <a:pt x="119401" y="523093"/>
              </a:lnTo>
              <a:lnTo>
                <a:pt x="0" y="523093"/>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16E296A1-5B9B-014A-9496-CCE54C4DB84E}">
      <dsp:nvSpPr>
        <dsp:cNvPr id="0" name=""/>
        <dsp:cNvSpPr/>
      </dsp:nvSpPr>
      <dsp:spPr>
        <a:xfrm>
          <a:off x="2635250" y="610550"/>
          <a:ext cx="807383" cy="523093"/>
        </a:xfrm>
        <a:custGeom>
          <a:avLst/>
          <a:gdLst/>
          <a:ahLst/>
          <a:cxnLst/>
          <a:rect l="0" t="0" r="0" b="0"/>
          <a:pathLst>
            <a:path>
              <a:moveTo>
                <a:pt x="0" y="0"/>
              </a:moveTo>
              <a:lnTo>
                <a:pt x="0" y="523093"/>
              </a:lnTo>
              <a:lnTo>
                <a:pt x="807383" y="523093"/>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AA45A629-E185-ED47-A3F4-1E16CF4F0DB1}">
      <dsp:nvSpPr>
        <dsp:cNvPr id="0" name=""/>
        <dsp:cNvSpPr/>
      </dsp:nvSpPr>
      <dsp:spPr>
        <a:xfrm>
          <a:off x="1139885" y="1417933"/>
          <a:ext cx="119401" cy="1330476"/>
        </a:xfrm>
        <a:custGeom>
          <a:avLst/>
          <a:gdLst/>
          <a:ahLst/>
          <a:cxnLst/>
          <a:rect l="0" t="0" r="0" b="0"/>
          <a:pathLst>
            <a:path>
              <a:moveTo>
                <a:pt x="119401" y="0"/>
              </a:moveTo>
              <a:lnTo>
                <a:pt x="119401" y="1330476"/>
              </a:lnTo>
              <a:lnTo>
                <a:pt x="0" y="1330476"/>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D1806D06-FD52-1B47-AECF-33834092B23F}">
      <dsp:nvSpPr>
        <dsp:cNvPr id="0" name=""/>
        <dsp:cNvSpPr/>
      </dsp:nvSpPr>
      <dsp:spPr>
        <a:xfrm>
          <a:off x="1259287" y="1417933"/>
          <a:ext cx="119401" cy="523093"/>
        </a:xfrm>
        <a:custGeom>
          <a:avLst/>
          <a:gdLst/>
          <a:ahLst/>
          <a:cxnLst/>
          <a:rect l="0" t="0" r="0" b="0"/>
          <a:pathLst>
            <a:path>
              <a:moveTo>
                <a:pt x="0" y="0"/>
              </a:moveTo>
              <a:lnTo>
                <a:pt x="0" y="523093"/>
              </a:lnTo>
              <a:lnTo>
                <a:pt x="119401" y="523093"/>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FC832993-BE1E-464B-9BB5-EB65DE93337F}">
      <dsp:nvSpPr>
        <dsp:cNvPr id="0" name=""/>
        <dsp:cNvSpPr/>
      </dsp:nvSpPr>
      <dsp:spPr>
        <a:xfrm>
          <a:off x="1139885" y="1417933"/>
          <a:ext cx="119401" cy="523093"/>
        </a:xfrm>
        <a:custGeom>
          <a:avLst/>
          <a:gdLst/>
          <a:ahLst/>
          <a:cxnLst/>
          <a:rect l="0" t="0" r="0" b="0"/>
          <a:pathLst>
            <a:path>
              <a:moveTo>
                <a:pt x="119401" y="0"/>
              </a:moveTo>
              <a:lnTo>
                <a:pt x="119401" y="523093"/>
              </a:lnTo>
              <a:lnTo>
                <a:pt x="0" y="523093"/>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0663FBB-F38A-9F4B-96F2-1C5A2C73FBB0}">
      <dsp:nvSpPr>
        <dsp:cNvPr id="0" name=""/>
        <dsp:cNvSpPr/>
      </dsp:nvSpPr>
      <dsp:spPr>
        <a:xfrm>
          <a:off x="1827866" y="610550"/>
          <a:ext cx="807383" cy="523093"/>
        </a:xfrm>
        <a:custGeom>
          <a:avLst/>
          <a:gdLst/>
          <a:ahLst/>
          <a:cxnLst/>
          <a:rect l="0" t="0" r="0" b="0"/>
          <a:pathLst>
            <a:path>
              <a:moveTo>
                <a:pt x="807383" y="0"/>
              </a:moveTo>
              <a:lnTo>
                <a:pt x="807383" y="523093"/>
              </a:lnTo>
              <a:lnTo>
                <a:pt x="0" y="523093"/>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1962D502-A4F5-FC43-BC2D-E0E692FEA9B1}">
      <dsp:nvSpPr>
        <dsp:cNvPr id="0" name=""/>
        <dsp:cNvSpPr/>
      </dsp:nvSpPr>
      <dsp:spPr>
        <a:xfrm>
          <a:off x="2066670" y="41970"/>
          <a:ext cx="1137159" cy="568579"/>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World Elevator Market</a:t>
          </a:r>
        </a:p>
      </dsp:txBody>
      <dsp:txXfrm>
        <a:off x="2066670" y="41970"/>
        <a:ext cx="1137159" cy="568579"/>
      </dsp:txXfrm>
    </dsp:sp>
    <dsp:sp modelId="{7B9991AA-500D-B643-A699-4B7CE11FCF84}">
      <dsp:nvSpPr>
        <dsp:cNvPr id="0" name=""/>
        <dsp:cNvSpPr/>
      </dsp:nvSpPr>
      <dsp:spPr>
        <a:xfrm>
          <a:off x="690707" y="849353"/>
          <a:ext cx="1137159" cy="568579"/>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Equipment</a:t>
          </a:r>
        </a:p>
      </dsp:txBody>
      <dsp:txXfrm>
        <a:off x="690707" y="849353"/>
        <a:ext cx="1137159" cy="568579"/>
      </dsp:txXfrm>
    </dsp:sp>
    <dsp:sp modelId="{53AA0DF3-2685-5545-9AC1-26BE84D0C5DC}">
      <dsp:nvSpPr>
        <dsp:cNvPr id="0" name=""/>
        <dsp:cNvSpPr/>
      </dsp:nvSpPr>
      <dsp:spPr>
        <a:xfrm>
          <a:off x="2726" y="1656736"/>
          <a:ext cx="1137159" cy="568579"/>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Parts &amp; Other </a:t>
          </a:r>
        </a:p>
      </dsp:txBody>
      <dsp:txXfrm>
        <a:off x="2726" y="1656736"/>
        <a:ext cx="1137159" cy="568579"/>
      </dsp:txXfrm>
    </dsp:sp>
    <dsp:sp modelId="{9A2D7C0E-EFD6-7949-98AE-F297FF9C7060}">
      <dsp:nvSpPr>
        <dsp:cNvPr id="0" name=""/>
        <dsp:cNvSpPr/>
      </dsp:nvSpPr>
      <dsp:spPr>
        <a:xfrm>
          <a:off x="1378689" y="1656736"/>
          <a:ext cx="1137159" cy="568579"/>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Passenger &amp; Freight</a:t>
          </a:r>
        </a:p>
      </dsp:txBody>
      <dsp:txXfrm>
        <a:off x="1378689" y="1656736"/>
        <a:ext cx="1137159" cy="568579"/>
      </dsp:txXfrm>
    </dsp:sp>
    <dsp:sp modelId="{6329BF35-912A-0441-A9BF-160819289B61}">
      <dsp:nvSpPr>
        <dsp:cNvPr id="0" name=""/>
        <dsp:cNvSpPr/>
      </dsp:nvSpPr>
      <dsp:spPr>
        <a:xfrm>
          <a:off x="2726" y="2464119"/>
          <a:ext cx="1137159" cy="568579"/>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Escalatiors &amp; Moving Walkways </a:t>
          </a:r>
        </a:p>
      </dsp:txBody>
      <dsp:txXfrm>
        <a:off x="2726" y="2464119"/>
        <a:ext cx="1137159" cy="568579"/>
      </dsp:txXfrm>
    </dsp:sp>
    <dsp:sp modelId="{F03E16A2-0FC0-8E42-9812-F98B6399878C}">
      <dsp:nvSpPr>
        <dsp:cNvPr id="0" name=""/>
        <dsp:cNvSpPr/>
      </dsp:nvSpPr>
      <dsp:spPr>
        <a:xfrm>
          <a:off x="3442633" y="849353"/>
          <a:ext cx="1137159" cy="568579"/>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Servicies</a:t>
          </a:r>
        </a:p>
      </dsp:txBody>
      <dsp:txXfrm>
        <a:off x="3442633" y="849353"/>
        <a:ext cx="1137159" cy="568579"/>
      </dsp:txXfrm>
    </dsp:sp>
    <dsp:sp modelId="{DA33260E-5C3B-D64E-A6CF-36BEC5CABF67}">
      <dsp:nvSpPr>
        <dsp:cNvPr id="0" name=""/>
        <dsp:cNvSpPr/>
      </dsp:nvSpPr>
      <dsp:spPr>
        <a:xfrm>
          <a:off x="2754651" y="1656736"/>
          <a:ext cx="1137159" cy="568579"/>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Installation</a:t>
          </a:r>
        </a:p>
      </dsp:txBody>
      <dsp:txXfrm>
        <a:off x="2754651" y="1656736"/>
        <a:ext cx="1137159" cy="568579"/>
      </dsp:txXfrm>
    </dsp:sp>
    <dsp:sp modelId="{0CBFECCD-7339-EB41-8AD7-DD2AC9915B7F}">
      <dsp:nvSpPr>
        <dsp:cNvPr id="0" name=""/>
        <dsp:cNvSpPr/>
      </dsp:nvSpPr>
      <dsp:spPr>
        <a:xfrm>
          <a:off x="4130614" y="1656736"/>
          <a:ext cx="1137159" cy="568579"/>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mbria"/>
              <a:ea typeface="+mn-ea"/>
              <a:cs typeface="+mn-cs"/>
            </a:rPr>
            <a:t>Modernisation &amp; Repair</a:t>
          </a:r>
        </a:p>
      </dsp:txBody>
      <dsp:txXfrm>
        <a:off x="4130614" y="1656736"/>
        <a:ext cx="1137159" cy="5685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Strathclyde Standard Desktop</dc:creator>
  <cp:lastModifiedBy>Strathclyde Standard Desktop</cp:lastModifiedBy>
  <cp:revision>1</cp:revision>
  <dcterms:created xsi:type="dcterms:W3CDTF">2015-01-27T11:58:00Z</dcterms:created>
  <dcterms:modified xsi:type="dcterms:W3CDTF">2015-01-27T12:35:00Z</dcterms:modified>
</cp:coreProperties>
</file>